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A1E02" w:rsidRPr="00AB08FC" w:rsidRDefault="005227F0" w:rsidP="00D4624B">
      <w:pPr>
        <w:jc w:val="center"/>
        <w:rPr>
          <w:sz w:val="32"/>
          <w:szCs w:val="32"/>
        </w:rPr>
      </w:pPr>
      <w:r w:rsidRPr="00AB08FC">
        <w:rPr>
          <w:sz w:val="32"/>
          <w:szCs w:val="32"/>
        </w:rPr>
        <w:t>An Introduction to Cohabitee Claims and TOLATA</w:t>
      </w:r>
    </w:p>
    <w:p w:rsidR="005227F0" w:rsidRDefault="005227F0" w:rsidP="00231B27">
      <w:pPr>
        <w:jc w:val="both"/>
      </w:pPr>
    </w:p>
    <w:p w:rsidR="005227F0" w:rsidRDefault="005227F0" w:rsidP="00231B27">
      <w:pPr>
        <w:jc w:val="both"/>
      </w:pPr>
    </w:p>
    <w:p w:rsidR="000D4BD5" w:rsidRDefault="000D4BD5" w:rsidP="00231B27">
      <w:pPr>
        <w:pStyle w:val="ListParagraph"/>
        <w:numPr>
          <w:ilvl w:val="0"/>
          <w:numId w:val="1"/>
        </w:numPr>
        <w:ind w:hanging="720"/>
        <w:jc w:val="both"/>
      </w:pPr>
      <w:r>
        <w:t xml:space="preserve">Many people – over 50% of </w:t>
      </w:r>
      <w:r w:rsidR="00B56D8A">
        <w:t xml:space="preserve">those asked in </w:t>
      </w:r>
      <w:r>
        <w:t>a recent survey</w:t>
      </w:r>
      <w:r w:rsidR="00852DED">
        <w:rPr>
          <w:rStyle w:val="FootnoteReference"/>
        </w:rPr>
        <w:footnoteReference w:id="1"/>
      </w:r>
      <w:r>
        <w:t xml:space="preserve"> – believe that after a number of years of </w:t>
      </w:r>
      <w:r w:rsidR="00B56D8A">
        <w:t xml:space="preserve">living with their partner, </w:t>
      </w:r>
      <w:r>
        <w:t>they acquire certain rights, as a ‘common law husband/ wife’</w:t>
      </w:r>
      <w:r w:rsidR="00231B27">
        <w:t xml:space="preserve">, and that the court will make orders </w:t>
      </w:r>
      <w:r w:rsidR="00D4624B">
        <w:t>to ensure a fair distribution of assets on separation.</w:t>
      </w:r>
    </w:p>
    <w:p w:rsidR="00231B27" w:rsidRDefault="00231B27" w:rsidP="00231B27">
      <w:pPr>
        <w:pStyle w:val="ListParagraph"/>
        <w:jc w:val="both"/>
      </w:pPr>
    </w:p>
    <w:p w:rsidR="000D4BD5" w:rsidRDefault="00D4624B" w:rsidP="00231B27">
      <w:pPr>
        <w:pStyle w:val="ListParagraph"/>
        <w:numPr>
          <w:ilvl w:val="0"/>
          <w:numId w:val="1"/>
        </w:numPr>
        <w:ind w:hanging="720"/>
        <w:jc w:val="both"/>
      </w:pPr>
      <w:r>
        <w:t xml:space="preserve">In fact, there is in law no such thing as </w:t>
      </w:r>
      <w:r w:rsidR="005007C9">
        <w:t>a</w:t>
      </w:r>
      <w:r>
        <w:t xml:space="preserve"> common law wife. When a cohabiting couple split up,</w:t>
      </w:r>
      <w:r w:rsidR="00043A6D">
        <w:t xml:space="preserve"> regardless of how long they have lived together,</w:t>
      </w:r>
      <w:r>
        <w:t xml:space="preserve"> the </w:t>
      </w:r>
      <w:r w:rsidR="00852DED">
        <w:t xml:space="preserve">applicable law is the law of </w:t>
      </w:r>
      <w:r>
        <w:t>trust</w:t>
      </w:r>
      <w:r w:rsidR="00852DED">
        <w:t>s</w:t>
      </w:r>
      <w:r w:rsidR="00043A6D">
        <w:t xml:space="preserve">. </w:t>
      </w:r>
      <w:r w:rsidR="00852DED">
        <w:t>For example, a woman lives with a man for five years at a property he owns: she has contributed towards the mortgage and paid for certain improvements. In order to achieve an interest</w:t>
      </w:r>
      <w:r w:rsidR="007F16AE">
        <w:t xml:space="preserve"> in the property (a beneficial interest)</w:t>
      </w:r>
      <w:r w:rsidR="00852DED">
        <w:t>, she need</w:t>
      </w:r>
      <w:r w:rsidR="007F16AE">
        <w:t>s</w:t>
      </w:r>
      <w:r w:rsidR="00852DED">
        <w:t xml:space="preserve"> to persuade the court </w:t>
      </w:r>
      <w:r w:rsidR="007F16AE">
        <w:t xml:space="preserve">the owner holds the property on constructive trust (alternatively, by proprietary estoppel etc.) in her favour. </w:t>
      </w:r>
      <w:r>
        <w:t xml:space="preserve">This </w:t>
      </w:r>
      <w:r w:rsidR="007F16AE">
        <w:t xml:space="preserve">requires </w:t>
      </w:r>
      <w:r>
        <w:t xml:space="preserve">the court </w:t>
      </w:r>
      <w:r w:rsidR="00043A6D">
        <w:t xml:space="preserve">to consider the parties’ shared </w:t>
      </w:r>
      <w:r w:rsidR="007F16AE">
        <w:t xml:space="preserve">or common </w:t>
      </w:r>
      <w:r w:rsidR="00043A6D">
        <w:t>intention</w:t>
      </w:r>
      <w:r w:rsidR="007F16AE">
        <w:t>.</w:t>
      </w:r>
    </w:p>
    <w:p w:rsidR="00043A6D" w:rsidRDefault="00043A6D" w:rsidP="00043A6D">
      <w:pPr>
        <w:pStyle w:val="ListParagraph"/>
      </w:pPr>
    </w:p>
    <w:p w:rsidR="000D4BD5" w:rsidRDefault="007F16AE" w:rsidP="00231B27">
      <w:pPr>
        <w:pStyle w:val="ListParagraph"/>
        <w:numPr>
          <w:ilvl w:val="0"/>
          <w:numId w:val="1"/>
        </w:numPr>
        <w:ind w:hanging="720"/>
        <w:jc w:val="both"/>
      </w:pPr>
      <w:r>
        <w:t>T</w:t>
      </w:r>
      <w:r w:rsidR="00FD1F93">
        <w:t xml:space="preserve">he courts </w:t>
      </w:r>
      <w:r>
        <w:t xml:space="preserve">are well </w:t>
      </w:r>
      <w:r w:rsidR="00FD1F93">
        <w:t xml:space="preserve">aware of the difficulties that can arise in this area of law. </w:t>
      </w:r>
      <w:r w:rsidR="00DD573E">
        <w:t>In the Court of Appeal in</w:t>
      </w:r>
      <w:r w:rsidR="00DD573E" w:rsidRPr="00DD573E">
        <w:rPr>
          <w:i/>
        </w:rPr>
        <w:t xml:space="preserve"> </w:t>
      </w:r>
      <w:r w:rsidR="00DD573E">
        <w:rPr>
          <w:i/>
        </w:rPr>
        <w:t>Stack v Dowden</w:t>
      </w:r>
      <w:r>
        <w:rPr>
          <w:i/>
        </w:rPr>
        <w:t xml:space="preserve"> </w:t>
      </w:r>
      <w:r>
        <w:t>[2006] 1 FLR 254</w:t>
      </w:r>
      <w:r w:rsidR="00DD573E">
        <w:t>, Lord Justice Carnwath commented</w:t>
      </w:r>
      <w:r w:rsidR="00AD4811">
        <w:t xml:space="preserve"> at [75]</w:t>
      </w:r>
      <w:r w:rsidR="00DD573E">
        <w:t>:</w:t>
      </w:r>
    </w:p>
    <w:p w:rsidR="00DD573E" w:rsidRPr="005007C9" w:rsidRDefault="00DD573E" w:rsidP="00DD573E">
      <w:pPr>
        <w:pStyle w:val="ListParagraph"/>
        <w:spacing w:line="276" w:lineRule="auto"/>
        <w:ind w:left="1440" w:right="946"/>
        <w:jc w:val="both"/>
        <w:rPr>
          <w:sz w:val="21"/>
          <w:szCs w:val="21"/>
        </w:rPr>
      </w:pPr>
      <w:r w:rsidRPr="005007C9">
        <w:rPr>
          <w:sz w:val="21"/>
          <w:szCs w:val="21"/>
        </w:rPr>
        <w:t>“To the detached observer, the result may seem like a witch’s brew, into which various esoteric ingredients have been stirred over the years, and in which different ideas bubble to the surface at different times. They include implied trust, constructive trust, resulting trust, presumption of advancement, proprietary estoppel, unjust enrichment, and so on. These ideas are likely to mean nothing to laymen, and often little more to the lawyers who use them.” </w:t>
      </w:r>
    </w:p>
    <w:p w:rsidR="00DD573E" w:rsidRDefault="00DD573E" w:rsidP="00DD573E">
      <w:pPr>
        <w:pStyle w:val="ListParagraph"/>
        <w:jc w:val="both"/>
      </w:pPr>
    </w:p>
    <w:p w:rsidR="00DD573E" w:rsidRDefault="00DD573E" w:rsidP="00231B27">
      <w:pPr>
        <w:pStyle w:val="ListParagraph"/>
        <w:numPr>
          <w:ilvl w:val="0"/>
          <w:numId w:val="1"/>
        </w:numPr>
        <w:ind w:hanging="720"/>
        <w:jc w:val="both"/>
      </w:pPr>
      <w:r>
        <w:t>So, why hasn’t the law changed?</w:t>
      </w:r>
    </w:p>
    <w:p w:rsidR="00DD573E" w:rsidRDefault="00DD573E" w:rsidP="00DD573E">
      <w:pPr>
        <w:pStyle w:val="ListParagraph"/>
        <w:numPr>
          <w:ilvl w:val="0"/>
          <w:numId w:val="3"/>
        </w:numPr>
        <w:jc w:val="both"/>
      </w:pPr>
      <w:r>
        <w:t>One inherent problem is definition: when does one acquire the status of a cohabitee? After how many years</w:t>
      </w:r>
      <w:r w:rsidR="00FD1F93">
        <w:t xml:space="preserve"> </w:t>
      </w:r>
      <w:r w:rsidR="00AD4811">
        <w:t xml:space="preserve">of </w:t>
      </w:r>
      <w:r w:rsidR="00FD1F93">
        <w:t>living together</w:t>
      </w:r>
      <w:r>
        <w:t xml:space="preserve">? </w:t>
      </w:r>
      <w:r w:rsidR="00FD1F93">
        <w:t>Should it be limited to those who live ‘as man and wife’, or extend to siblings or friends who live together?</w:t>
      </w:r>
    </w:p>
    <w:p w:rsidR="00DD573E" w:rsidRDefault="003D16B2" w:rsidP="00DD573E">
      <w:pPr>
        <w:pStyle w:val="ListParagraph"/>
        <w:numPr>
          <w:ilvl w:val="0"/>
          <w:numId w:val="3"/>
        </w:numPr>
        <w:jc w:val="both"/>
      </w:pPr>
      <w:r>
        <w:lastRenderedPageBreak/>
        <w:t>Another is the</w:t>
      </w:r>
      <w:r w:rsidR="00FD1F93">
        <w:t xml:space="preserve"> p</w:t>
      </w:r>
      <w:r w:rsidR="00DD573E">
        <w:t xml:space="preserve">olitical dimension: </w:t>
      </w:r>
      <w:r>
        <w:t xml:space="preserve">many consider this a controversial area: an increase of </w:t>
      </w:r>
      <w:r w:rsidR="00DD573E">
        <w:t xml:space="preserve">the rights of cohabitees has been regarded as an attack on the institution of marriage. </w:t>
      </w:r>
    </w:p>
    <w:p w:rsidR="001A54F5" w:rsidRDefault="001A54F5" w:rsidP="001A54F5">
      <w:pPr>
        <w:pStyle w:val="ListParagraph"/>
        <w:ind w:left="2160"/>
        <w:jc w:val="both"/>
      </w:pPr>
    </w:p>
    <w:p w:rsidR="00DD573E" w:rsidRPr="00BE5454" w:rsidRDefault="003D16B2" w:rsidP="00AD4811">
      <w:pPr>
        <w:pStyle w:val="ListParagraph"/>
        <w:numPr>
          <w:ilvl w:val="0"/>
          <w:numId w:val="3"/>
        </w:numPr>
        <w:jc w:val="both"/>
      </w:pPr>
      <w:r>
        <w:t>In 2007, t</w:t>
      </w:r>
      <w:r w:rsidR="00FD1F93">
        <w:t>he Law Commission reported in favour of a wholesale reform of the law, away from the current common law, in favour of extended powers based on principles of economic disadvantage</w:t>
      </w:r>
      <w:r>
        <w:rPr>
          <w:rStyle w:val="FootnoteReference"/>
        </w:rPr>
        <w:footnoteReference w:id="2"/>
      </w:r>
      <w:r>
        <w:t>.</w:t>
      </w:r>
      <w:r w:rsidR="00FD1F93">
        <w:t xml:space="preserve"> </w:t>
      </w:r>
      <w:r w:rsidR="00AD4811">
        <w:t xml:space="preserve">However, the </w:t>
      </w:r>
      <w:r w:rsidR="00FD1F93">
        <w:t>Government</w:t>
      </w:r>
      <w:r w:rsidR="00AD4811">
        <w:t xml:space="preserve"> drew back from introducing legislation: its official position i</w:t>
      </w:r>
      <w:r w:rsidR="00BE5454">
        <w:t xml:space="preserve">s to </w:t>
      </w:r>
      <w:r w:rsidR="00BE5454" w:rsidRPr="00AD4811">
        <w:rPr>
          <w:rFonts w:eastAsia="Arial Unicode MS"/>
          <w:kern w:val="24"/>
        </w:rPr>
        <w:t xml:space="preserve">research findings on the </w:t>
      </w:r>
      <w:r w:rsidR="00AD4811">
        <w:rPr>
          <w:rFonts w:eastAsia="Arial Unicode MS"/>
          <w:kern w:val="24"/>
        </w:rPr>
        <w:t>impact of the</w:t>
      </w:r>
      <w:r w:rsidR="005007C9" w:rsidRPr="00AD4811">
        <w:rPr>
          <w:rFonts w:eastAsia="Arial Unicode MS"/>
          <w:kern w:val="24"/>
        </w:rPr>
        <w:t xml:space="preserve"> change in the law in Scotland</w:t>
      </w:r>
      <w:r w:rsidR="00AD4811">
        <w:rPr>
          <w:rStyle w:val="FootnoteReference"/>
          <w:rFonts w:eastAsia="Arial Unicode MS"/>
          <w:kern w:val="24"/>
        </w:rPr>
        <w:footnoteReference w:id="3"/>
      </w:r>
      <w:r w:rsidR="00BE5454" w:rsidRPr="00AD4811">
        <w:rPr>
          <w:rFonts w:eastAsia="Arial Unicode MS"/>
          <w:kern w:val="24"/>
        </w:rPr>
        <w:t xml:space="preserve"> and “extrapolate from it the likely cost of this jurisdiction of bringing into effect the scheme proposed by the Law Commission”</w:t>
      </w:r>
      <w:r w:rsidR="00BE5454" w:rsidRPr="00DB68C7">
        <w:rPr>
          <w:rStyle w:val="FootnoteReference"/>
          <w:rFonts w:eastAsia="Arial Unicode MS"/>
          <w:kern w:val="24"/>
        </w:rPr>
        <w:footnoteReference w:id="4"/>
      </w:r>
      <w:r w:rsidR="00BE5454" w:rsidRPr="00AD4811">
        <w:rPr>
          <w:rFonts w:eastAsia="Arial Unicode MS"/>
          <w:kern w:val="24"/>
        </w:rPr>
        <w:t xml:space="preserve">. </w:t>
      </w:r>
      <w:r w:rsidR="005007C9" w:rsidRPr="00AD4811">
        <w:rPr>
          <w:rFonts w:eastAsia="Arial Unicode MS"/>
          <w:kern w:val="24"/>
        </w:rPr>
        <w:t xml:space="preserve">The attempt at a </w:t>
      </w:r>
      <w:r w:rsidR="00BE5454" w:rsidRPr="00AD4811">
        <w:rPr>
          <w:rFonts w:eastAsia="Arial Unicode MS"/>
          <w:kern w:val="24"/>
        </w:rPr>
        <w:t xml:space="preserve">Private Members’ Bill </w:t>
      </w:r>
      <w:r w:rsidR="005007C9" w:rsidRPr="00AD4811">
        <w:rPr>
          <w:rFonts w:eastAsia="Arial Unicode MS"/>
          <w:kern w:val="24"/>
        </w:rPr>
        <w:t xml:space="preserve">by Lord Lester has also now </w:t>
      </w:r>
      <w:r w:rsidR="00BE5454" w:rsidRPr="00AD4811">
        <w:rPr>
          <w:rFonts w:eastAsia="Arial Unicode MS"/>
          <w:kern w:val="24"/>
        </w:rPr>
        <w:t>failed.</w:t>
      </w:r>
    </w:p>
    <w:p w:rsidR="005007C9" w:rsidRPr="005007C9" w:rsidRDefault="005007C9" w:rsidP="005007C9">
      <w:pPr>
        <w:pStyle w:val="ListParagraph"/>
        <w:spacing w:line="276" w:lineRule="auto"/>
        <w:ind w:left="2880" w:right="566"/>
        <w:jc w:val="both"/>
        <w:rPr>
          <w:sz w:val="21"/>
          <w:szCs w:val="21"/>
        </w:rPr>
      </w:pPr>
      <w:r w:rsidRPr="005007C9">
        <w:rPr>
          <w:sz w:val="21"/>
          <w:szCs w:val="21"/>
        </w:rPr>
        <w:t xml:space="preserve">“The government has indicated that for the time being it does not intend to make a decision on the issue. Meanwhile cases will continue to come to this court and lower courts in which the principles to be applied will be those established in </w:t>
      </w:r>
      <w:bookmarkStart w:id="0" w:name="LPHit11"/>
      <w:bookmarkEnd w:id="0"/>
      <w:r w:rsidRPr="00AD4811">
        <w:rPr>
          <w:i/>
          <w:iCs/>
          <w:sz w:val="21"/>
          <w:szCs w:val="21"/>
        </w:rPr>
        <w:t>Stack v Dowden</w:t>
      </w:r>
      <w:r w:rsidRPr="005007C9">
        <w:rPr>
          <w:sz w:val="21"/>
          <w:szCs w:val="21"/>
        </w:rPr>
        <w:t>.” Toulson LJ</w:t>
      </w:r>
      <w:r w:rsidRPr="005007C9">
        <w:rPr>
          <w:i/>
          <w:sz w:val="21"/>
          <w:szCs w:val="21"/>
        </w:rPr>
        <w:t xml:space="preserve">, Fowler v Barron </w:t>
      </w:r>
      <w:r w:rsidRPr="005007C9">
        <w:rPr>
          <w:sz w:val="21"/>
          <w:szCs w:val="21"/>
        </w:rPr>
        <w:t>[2008] 2 FLR 831 at [50]</w:t>
      </w:r>
    </w:p>
    <w:p w:rsidR="00BE5454" w:rsidRDefault="00BE5454" w:rsidP="005007C9">
      <w:pPr>
        <w:pStyle w:val="ListParagraph"/>
        <w:ind w:left="2880"/>
        <w:jc w:val="both"/>
      </w:pPr>
    </w:p>
    <w:p w:rsidR="00BE5454" w:rsidRDefault="00BE5454" w:rsidP="00BE5454">
      <w:pPr>
        <w:pStyle w:val="ListParagraph"/>
        <w:ind w:left="2160"/>
        <w:jc w:val="both"/>
      </w:pPr>
    </w:p>
    <w:p w:rsidR="00DD573E" w:rsidRPr="00FD1F93" w:rsidRDefault="00AD4811" w:rsidP="00DD573E">
      <w:pPr>
        <w:jc w:val="both"/>
        <w:rPr>
          <w:i/>
        </w:rPr>
      </w:pPr>
      <w:r>
        <w:rPr>
          <w:i/>
        </w:rPr>
        <w:t>The c</w:t>
      </w:r>
      <w:r w:rsidR="00FD1F93">
        <w:rPr>
          <w:i/>
        </w:rPr>
        <w:t>ontrast between rights of cohabitee and rights of a divorcee</w:t>
      </w:r>
    </w:p>
    <w:p w:rsidR="005227F0" w:rsidRDefault="00AD4811" w:rsidP="00231B27">
      <w:pPr>
        <w:pStyle w:val="ListParagraph"/>
        <w:numPr>
          <w:ilvl w:val="0"/>
          <w:numId w:val="1"/>
        </w:numPr>
        <w:ind w:hanging="720"/>
        <w:jc w:val="both"/>
      </w:pPr>
      <w:r>
        <w:t xml:space="preserve">The difference between the rights of a ex-cohabitee and a divorcee is stark, both in law and the governing </w:t>
      </w:r>
      <w:r w:rsidR="008E7F6A">
        <w:t xml:space="preserve">court </w:t>
      </w:r>
      <w:r>
        <w:t xml:space="preserve">procedure: </w:t>
      </w:r>
    </w:p>
    <w:tbl>
      <w:tblPr>
        <w:tblStyle w:val="TableGrid"/>
        <w:tblW w:w="0" w:type="auto"/>
        <w:tblInd w:w="1440" w:type="dxa"/>
        <w:tblLook w:val="04A0" w:firstRow="1" w:lastRow="0" w:firstColumn="1" w:lastColumn="0" w:noHBand="0" w:noVBand="1"/>
      </w:tblPr>
      <w:tblGrid>
        <w:gridCol w:w="1890"/>
        <w:gridCol w:w="2750"/>
        <w:gridCol w:w="2940"/>
      </w:tblGrid>
      <w:tr w:rsidR="00647F21" w:rsidRPr="003D16B2" w:rsidTr="00647B40">
        <w:tc>
          <w:tcPr>
            <w:tcW w:w="1929"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647F21" w:rsidRPr="003D16B2" w:rsidRDefault="00647F21" w:rsidP="00AC1DD6">
            <w:pPr>
              <w:pStyle w:val="ListParagraph"/>
              <w:ind w:left="0"/>
              <w:rPr>
                <w:b/>
              </w:rPr>
            </w:pPr>
          </w:p>
        </w:tc>
        <w:tc>
          <w:tcPr>
            <w:tcW w:w="2835"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647F21" w:rsidRPr="003D16B2" w:rsidRDefault="00647F21" w:rsidP="003D16B2">
            <w:pPr>
              <w:pStyle w:val="ListParagraph"/>
              <w:ind w:left="0"/>
              <w:rPr>
                <w:b/>
              </w:rPr>
            </w:pPr>
            <w:r w:rsidRPr="003D16B2">
              <w:rPr>
                <w:b/>
              </w:rPr>
              <w:t>Married couple</w:t>
            </w:r>
          </w:p>
        </w:tc>
        <w:tc>
          <w:tcPr>
            <w:tcW w:w="3038"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647F21" w:rsidRPr="003D16B2" w:rsidRDefault="00647F21" w:rsidP="003D16B2">
            <w:pPr>
              <w:pStyle w:val="ListParagraph"/>
              <w:ind w:left="0"/>
              <w:rPr>
                <w:b/>
              </w:rPr>
            </w:pPr>
            <w:r w:rsidRPr="003D16B2">
              <w:rPr>
                <w:b/>
              </w:rPr>
              <w:t>Cohabiting couple</w:t>
            </w:r>
          </w:p>
        </w:tc>
      </w:tr>
      <w:tr w:rsidR="00B56D8A" w:rsidRPr="00231B27" w:rsidTr="00647B40">
        <w:tc>
          <w:tcPr>
            <w:tcW w:w="1929"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B56D8A" w:rsidRPr="00F55CCA" w:rsidRDefault="00B56D8A" w:rsidP="00AC1DD6">
            <w:pPr>
              <w:pStyle w:val="ListParagraph"/>
              <w:spacing w:line="276" w:lineRule="auto"/>
              <w:ind w:left="0"/>
            </w:pPr>
            <w:r w:rsidRPr="00F55CCA">
              <w:t>Basis of the law</w:t>
            </w:r>
          </w:p>
        </w:tc>
        <w:tc>
          <w:tcPr>
            <w:tcW w:w="2835"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F55CCA" w:rsidRDefault="00F55CCA" w:rsidP="003D16B2">
            <w:pPr>
              <w:pStyle w:val="ListParagraph"/>
              <w:spacing w:line="276" w:lineRule="auto"/>
              <w:ind w:left="0"/>
            </w:pPr>
            <w:r>
              <w:t>Statute-based (</w:t>
            </w:r>
            <w:r w:rsidR="008E7F6A">
              <w:rPr>
                <w:u w:val="single"/>
              </w:rPr>
              <w:t>Matrimonial Causes Act</w:t>
            </w:r>
            <w:r w:rsidRPr="008E7F6A">
              <w:rPr>
                <w:u w:val="single"/>
              </w:rPr>
              <w:t xml:space="preserve"> 1973</w:t>
            </w:r>
            <w:r>
              <w:t xml:space="preserve">) </w:t>
            </w:r>
          </w:p>
          <w:p w:rsidR="00320044" w:rsidRDefault="00B56D8A" w:rsidP="003D16B2">
            <w:pPr>
              <w:pStyle w:val="ListParagraph"/>
              <w:spacing w:line="276" w:lineRule="auto"/>
              <w:ind w:left="0"/>
            </w:pPr>
            <w:r w:rsidRPr="003D16B2">
              <w:t>Objective is fair division of the parties’ financial resources</w:t>
            </w:r>
            <w:r w:rsidR="003D16B2" w:rsidRPr="003D16B2">
              <w:t xml:space="preserve">. </w:t>
            </w:r>
            <w:r w:rsidR="00320044">
              <w:t>(</w:t>
            </w:r>
            <w:r w:rsidR="00320044" w:rsidRPr="00BE5454">
              <w:rPr>
                <w:i/>
              </w:rPr>
              <w:t>Miller; McFarlane</w:t>
            </w:r>
            <w:r w:rsidR="00320044">
              <w:t xml:space="preserve"> [2006] 1 FLR 1186; </w:t>
            </w:r>
            <w:r w:rsidR="00320044" w:rsidRPr="00BE5454">
              <w:rPr>
                <w:i/>
              </w:rPr>
              <w:t>Charman (No 4)</w:t>
            </w:r>
            <w:r w:rsidR="00320044">
              <w:t xml:space="preserve"> [2007] 1 FLR 1246)</w:t>
            </w:r>
          </w:p>
          <w:p w:rsidR="00320044" w:rsidRDefault="00320044" w:rsidP="003D16B2">
            <w:pPr>
              <w:pStyle w:val="ListParagraph"/>
              <w:spacing w:line="276" w:lineRule="auto"/>
              <w:ind w:left="0"/>
            </w:pPr>
          </w:p>
          <w:p w:rsidR="00B56D8A" w:rsidRPr="003D16B2" w:rsidRDefault="003D16B2" w:rsidP="003D16B2">
            <w:pPr>
              <w:pStyle w:val="ListParagraph"/>
              <w:spacing w:line="276" w:lineRule="auto"/>
              <w:ind w:left="0"/>
            </w:pPr>
            <w:r w:rsidRPr="003D16B2">
              <w:t>Court’s function is ‘quasi-</w:t>
            </w:r>
            <w:r w:rsidRPr="003D16B2">
              <w:lastRenderedPageBreak/>
              <w:t xml:space="preserve">inquisitorial’ (See </w:t>
            </w:r>
            <w:r w:rsidRPr="003D16B2">
              <w:rPr>
                <w:i/>
              </w:rPr>
              <w:t>Parra v Parra</w:t>
            </w:r>
            <w:r w:rsidRPr="003D16B2">
              <w:t xml:space="preserve"> [2003] 1 FLR 942</w:t>
            </w:r>
            <w:r w:rsidR="00022DD6">
              <w:t xml:space="preserve"> at [22</w:t>
            </w:r>
            <w:r w:rsidRPr="003D16B2">
              <w:t>]</w:t>
            </w:r>
            <w:r w:rsidR="00022DD6">
              <w:t>)</w:t>
            </w:r>
          </w:p>
        </w:tc>
        <w:tc>
          <w:tcPr>
            <w:tcW w:w="3038"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231B27" w:rsidRPr="003D16B2" w:rsidRDefault="00F55CCA" w:rsidP="003D16B2">
            <w:pPr>
              <w:pStyle w:val="ListParagraph"/>
              <w:spacing w:line="276" w:lineRule="auto"/>
              <w:ind w:left="0"/>
            </w:pPr>
            <w:r>
              <w:lastRenderedPageBreak/>
              <w:t xml:space="preserve">Common law, specifically </w:t>
            </w:r>
            <w:r w:rsidR="00231B27" w:rsidRPr="003D16B2">
              <w:t>pr</w:t>
            </w:r>
            <w:r>
              <w:t xml:space="preserve">inciples of trust law, </w:t>
            </w:r>
            <w:r w:rsidR="008E7F6A">
              <w:t xml:space="preserve">overlaid by </w:t>
            </w:r>
            <w:r w:rsidR="008E7F6A" w:rsidRPr="008E7F6A">
              <w:rPr>
                <w:u w:val="single"/>
              </w:rPr>
              <w:t>TOLATA</w:t>
            </w:r>
            <w:r w:rsidR="008E7F6A">
              <w:rPr>
                <w:u w:val="single"/>
              </w:rPr>
              <w:t xml:space="preserve"> 1996</w:t>
            </w:r>
            <w:r w:rsidR="008E7F6A">
              <w:t xml:space="preserve"> s 12-15</w:t>
            </w:r>
            <w:r>
              <w:t>.</w:t>
            </w:r>
          </w:p>
          <w:p w:rsidR="00F55CCA" w:rsidRDefault="00320044" w:rsidP="003D16B2">
            <w:pPr>
              <w:pStyle w:val="ListParagraph"/>
              <w:spacing w:line="276" w:lineRule="auto"/>
              <w:ind w:left="0"/>
            </w:pPr>
            <w:r>
              <w:t xml:space="preserve">Leading case on cohabitee claims/ ‘domestic consumer context’ is </w:t>
            </w:r>
            <w:r w:rsidRPr="00320044">
              <w:rPr>
                <w:i/>
              </w:rPr>
              <w:t>Stack v Dowden</w:t>
            </w:r>
            <w:r>
              <w:t xml:space="preserve"> [2007] 2 AC 432.</w:t>
            </w:r>
            <w:r w:rsidR="00F55CCA">
              <w:t xml:space="preserve"> </w:t>
            </w:r>
          </w:p>
          <w:p w:rsidR="00B56D8A" w:rsidRPr="003D16B2" w:rsidRDefault="00F55CCA" w:rsidP="003D16B2">
            <w:pPr>
              <w:pStyle w:val="ListParagraph"/>
              <w:spacing w:line="276" w:lineRule="auto"/>
              <w:ind w:left="0"/>
            </w:pPr>
            <w:r>
              <w:t>NB. Different approach in ‘</w:t>
            </w:r>
            <w:r w:rsidRPr="00320044">
              <w:t>commercial</w:t>
            </w:r>
            <w:r>
              <w:t>’</w:t>
            </w:r>
            <w:r w:rsidRPr="00320044">
              <w:t xml:space="preserve"> disputes </w:t>
            </w:r>
            <w:r>
              <w:t xml:space="preserve">over land ownership </w:t>
            </w:r>
            <w:r w:rsidRPr="00320044">
              <w:t xml:space="preserve">– for hybrid </w:t>
            </w:r>
            <w:r w:rsidRPr="00320044">
              <w:lastRenderedPageBreak/>
              <w:t xml:space="preserve">situations, see </w:t>
            </w:r>
            <w:r w:rsidRPr="00320044">
              <w:rPr>
                <w:rFonts w:eastAsia="Arial Unicode MS"/>
                <w:i/>
                <w:color w:val="000000"/>
                <w:kern w:val="24"/>
              </w:rPr>
              <w:t>Laskar v Laskar</w:t>
            </w:r>
            <w:r w:rsidRPr="00320044">
              <w:rPr>
                <w:rFonts w:eastAsia="Arial Unicode MS"/>
                <w:color w:val="000000"/>
                <w:kern w:val="24"/>
              </w:rPr>
              <w:t xml:space="preserve"> [2008] 2 FLR 589</w:t>
            </w:r>
          </w:p>
        </w:tc>
      </w:tr>
      <w:tr w:rsidR="00942C20" w:rsidRPr="00231B27" w:rsidTr="00647B40">
        <w:tc>
          <w:tcPr>
            <w:tcW w:w="1929"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8E7F6A" w:rsidRDefault="008E7F6A" w:rsidP="00AC1DD6">
            <w:pPr>
              <w:pStyle w:val="ListParagraph"/>
              <w:spacing w:line="276" w:lineRule="auto"/>
              <w:ind w:left="0"/>
              <w:rPr>
                <w:b/>
              </w:rPr>
            </w:pPr>
          </w:p>
          <w:p w:rsidR="00942C20" w:rsidRPr="003D16B2" w:rsidRDefault="00942C20" w:rsidP="00AC1DD6">
            <w:pPr>
              <w:pStyle w:val="ListParagraph"/>
              <w:spacing w:line="276" w:lineRule="auto"/>
              <w:ind w:left="0"/>
              <w:rPr>
                <w:b/>
              </w:rPr>
            </w:pPr>
            <w:r w:rsidRPr="003D16B2">
              <w:rPr>
                <w:b/>
              </w:rPr>
              <w:t>Court powers</w:t>
            </w:r>
          </w:p>
        </w:tc>
        <w:tc>
          <w:tcPr>
            <w:tcW w:w="2835"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942C20" w:rsidRPr="003D16B2" w:rsidRDefault="00942C20" w:rsidP="003D16B2">
            <w:pPr>
              <w:pStyle w:val="ListParagraph"/>
              <w:spacing w:line="276" w:lineRule="auto"/>
              <w:ind w:left="0"/>
            </w:pPr>
          </w:p>
        </w:tc>
        <w:tc>
          <w:tcPr>
            <w:tcW w:w="3038"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942C20" w:rsidRPr="003D16B2" w:rsidRDefault="00942C20" w:rsidP="003D16B2">
            <w:pPr>
              <w:pStyle w:val="ListParagraph"/>
              <w:spacing w:line="276" w:lineRule="auto"/>
              <w:ind w:left="0"/>
            </w:pPr>
          </w:p>
        </w:tc>
      </w:tr>
      <w:tr w:rsidR="00942C20" w:rsidRPr="00231B27" w:rsidTr="00647B40">
        <w:tc>
          <w:tcPr>
            <w:tcW w:w="1929"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647F21" w:rsidRPr="003D16B2" w:rsidRDefault="00647F21" w:rsidP="00AC1DD6">
            <w:pPr>
              <w:pStyle w:val="ListParagraph"/>
              <w:spacing w:line="276" w:lineRule="auto"/>
              <w:ind w:left="0"/>
            </w:pPr>
            <w:r w:rsidRPr="003D16B2">
              <w:t>Property</w:t>
            </w:r>
          </w:p>
        </w:tc>
        <w:tc>
          <w:tcPr>
            <w:tcW w:w="2835"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647F21" w:rsidRPr="003D16B2" w:rsidRDefault="00647F21" w:rsidP="003D16B2">
            <w:pPr>
              <w:pStyle w:val="ListParagraph"/>
              <w:spacing w:line="276" w:lineRule="auto"/>
              <w:ind w:left="0"/>
            </w:pPr>
            <w:r w:rsidRPr="003D16B2">
              <w:t>Property adjustment orders</w:t>
            </w:r>
            <w:r w:rsidR="00AB08FC" w:rsidRPr="003D16B2">
              <w:t>, e.g. transfer, transfer subject to charge (</w:t>
            </w:r>
            <w:r w:rsidR="00AB08FC" w:rsidRPr="003D16B2">
              <w:rPr>
                <w:i/>
              </w:rPr>
              <w:t>Mesher</w:t>
            </w:r>
            <w:r w:rsidR="00AB08FC" w:rsidRPr="003D16B2">
              <w:t>), sale etc.</w:t>
            </w:r>
          </w:p>
          <w:p w:rsidR="00647F21" w:rsidRPr="003D16B2" w:rsidRDefault="00647F21" w:rsidP="003D16B2">
            <w:pPr>
              <w:pStyle w:val="ListParagraph"/>
              <w:spacing w:line="276" w:lineRule="auto"/>
              <w:ind w:left="0"/>
            </w:pPr>
          </w:p>
        </w:tc>
        <w:tc>
          <w:tcPr>
            <w:tcW w:w="3038"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320044" w:rsidRPr="00320044" w:rsidRDefault="00320044" w:rsidP="00320044">
            <w:pPr>
              <w:spacing w:line="276" w:lineRule="auto"/>
            </w:pPr>
            <w:r>
              <w:t xml:space="preserve">Powers at TOLATA s </w:t>
            </w:r>
            <w:r w:rsidR="00870F4D">
              <w:t xml:space="preserve">14 relating to exercise of functions as trustees. </w:t>
            </w:r>
            <w:r w:rsidR="008E7F6A">
              <w:t>In practice the m</w:t>
            </w:r>
            <w:r w:rsidR="00870F4D">
              <w:t>ain powers:</w:t>
            </w:r>
          </w:p>
          <w:p w:rsidR="00942C20" w:rsidRPr="003D16B2" w:rsidRDefault="003D16B2" w:rsidP="003D16B2">
            <w:pPr>
              <w:pStyle w:val="ListParagraph"/>
              <w:numPr>
                <w:ilvl w:val="0"/>
                <w:numId w:val="2"/>
              </w:numPr>
              <w:spacing w:line="276" w:lineRule="auto"/>
              <w:ind w:left="317" w:hanging="317"/>
            </w:pPr>
            <w:r>
              <w:t>D</w:t>
            </w:r>
            <w:r w:rsidR="00647F21" w:rsidRPr="003D16B2">
              <w:t>eclarations as to beneficial ownership</w:t>
            </w:r>
          </w:p>
          <w:p w:rsidR="00942C20" w:rsidRPr="003D16B2" w:rsidRDefault="003D16B2" w:rsidP="003D16B2">
            <w:pPr>
              <w:pStyle w:val="ListParagraph"/>
              <w:numPr>
                <w:ilvl w:val="0"/>
                <w:numId w:val="2"/>
              </w:numPr>
              <w:spacing w:line="276" w:lineRule="auto"/>
              <w:ind w:left="317" w:hanging="317"/>
            </w:pPr>
            <w:r>
              <w:t>O</w:t>
            </w:r>
            <w:r w:rsidR="00647F21" w:rsidRPr="003D16B2">
              <w:t>rders for sale</w:t>
            </w:r>
            <w:r w:rsidR="00AB08FC" w:rsidRPr="003D16B2">
              <w:t>, which can be delayed</w:t>
            </w:r>
          </w:p>
          <w:p w:rsidR="00942C20" w:rsidRPr="003D16B2" w:rsidRDefault="003D16B2" w:rsidP="008E7F6A">
            <w:pPr>
              <w:pStyle w:val="ListParagraph"/>
              <w:spacing w:line="276" w:lineRule="auto"/>
              <w:ind w:left="0"/>
            </w:pPr>
            <w:r>
              <w:t>Normally, no</w:t>
            </w:r>
            <w:r w:rsidR="00870F4D">
              <w:t>t</w:t>
            </w:r>
            <w:r>
              <w:t xml:space="preserve"> transfer </w:t>
            </w:r>
            <w:r w:rsidR="00870F4D">
              <w:t xml:space="preserve">of </w:t>
            </w:r>
            <w:r>
              <w:t xml:space="preserve">property. </w:t>
            </w:r>
            <w:r w:rsidR="005007C9">
              <w:rPr>
                <w:i/>
              </w:rPr>
              <w:t>*</w:t>
            </w:r>
            <w:r w:rsidR="00942C20" w:rsidRPr="00870F4D">
              <w:rPr>
                <w:i/>
              </w:rPr>
              <w:t xml:space="preserve">Wider powers in proprietary </w:t>
            </w:r>
            <w:r w:rsidRPr="00870F4D">
              <w:rPr>
                <w:i/>
              </w:rPr>
              <w:t>estoppel.</w:t>
            </w:r>
          </w:p>
        </w:tc>
      </w:tr>
      <w:tr w:rsidR="00647F21" w:rsidRPr="00231B27" w:rsidTr="00647B40">
        <w:tc>
          <w:tcPr>
            <w:tcW w:w="1929"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647F21" w:rsidRPr="003D16B2" w:rsidRDefault="00647F21" w:rsidP="00AC1DD6">
            <w:pPr>
              <w:pStyle w:val="ListParagraph"/>
              <w:spacing w:line="276" w:lineRule="auto"/>
              <w:ind w:left="0"/>
            </w:pPr>
            <w:r w:rsidRPr="003D16B2">
              <w:t>Capital</w:t>
            </w:r>
          </w:p>
        </w:tc>
        <w:tc>
          <w:tcPr>
            <w:tcW w:w="2835"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647F21" w:rsidRPr="003D16B2" w:rsidRDefault="00647F21" w:rsidP="003D16B2">
            <w:pPr>
              <w:pStyle w:val="ListParagraph"/>
              <w:spacing w:line="276" w:lineRule="auto"/>
              <w:ind w:left="0"/>
            </w:pPr>
            <w:r w:rsidRPr="003D16B2">
              <w:t>Lump sum orders</w:t>
            </w:r>
          </w:p>
        </w:tc>
        <w:tc>
          <w:tcPr>
            <w:tcW w:w="3038"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647F21" w:rsidRPr="008E7F6A" w:rsidRDefault="00647F21" w:rsidP="003D16B2">
            <w:pPr>
              <w:pStyle w:val="ListParagraph"/>
              <w:spacing w:line="276" w:lineRule="auto"/>
              <w:ind w:left="0"/>
              <w:rPr>
                <w:i/>
              </w:rPr>
            </w:pPr>
            <w:r w:rsidRPr="003D16B2">
              <w:t>No</w:t>
            </w:r>
            <w:r w:rsidR="005007C9">
              <w:t>*</w:t>
            </w:r>
            <w:r w:rsidR="008E7F6A">
              <w:rPr>
                <w:i/>
              </w:rPr>
              <w:t xml:space="preserve"> </w:t>
            </w:r>
          </w:p>
        </w:tc>
      </w:tr>
      <w:tr w:rsidR="00647F21" w:rsidRPr="00231B27" w:rsidTr="00647B40">
        <w:tc>
          <w:tcPr>
            <w:tcW w:w="1929"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647F21" w:rsidRPr="003D16B2" w:rsidRDefault="00647F21" w:rsidP="00AC1DD6">
            <w:pPr>
              <w:pStyle w:val="ListParagraph"/>
              <w:spacing w:line="276" w:lineRule="auto"/>
              <w:ind w:left="0"/>
            </w:pPr>
            <w:r w:rsidRPr="003D16B2">
              <w:t>Periodical payments</w:t>
            </w:r>
          </w:p>
        </w:tc>
        <w:tc>
          <w:tcPr>
            <w:tcW w:w="2835"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647F21" w:rsidRPr="003D16B2" w:rsidRDefault="00647F21" w:rsidP="008E7F6A">
            <w:pPr>
              <w:pStyle w:val="ListParagraph"/>
              <w:spacing w:line="276" w:lineRule="auto"/>
              <w:ind w:left="0"/>
            </w:pPr>
            <w:r w:rsidRPr="003D16B2">
              <w:t xml:space="preserve">Periodical payments/ capitalisation. </w:t>
            </w:r>
          </w:p>
        </w:tc>
        <w:tc>
          <w:tcPr>
            <w:tcW w:w="3038"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AB08FC" w:rsidRDefault="00647F21" w:rsidP="003D16B2">
            <w:pPr>
              <w:pStyle w:val="ListParagraph"/>
              <w:spacing w:line="276" w:lineRule="auto"/>
              <w:ind w:left="0"/>
            </w:pPr>
            <w:r w:rsidRPr="003D16B2">
              <w:t>No</w:t>
            </w:r>
            <w:r w:rsidR="005007C9">
              <w:t>.</w:t>
            </w:r>
          </w:p>
          <w:p w:rsidR="00647F21" w:rsidRPr="003D16B2" w:rsidRDefault="00647F21" w:rsidP="008E7F6A">
            <w:pPr>
              <w:pStyle w:val="ListParagraph"/>
              <w:spacing w:line="276" w:lineRule="auto"/>
              <w:ind w:left="0"/>
            </w:pPr>
          </w:p>
        </w:tc>
      </w:tr>
      <w:tr w:rsidR="00647F21" w:rsidRPr="00231B27" w:rsidTr="00647B40">
        <w:tc>
          <w:tcPr>
            <w:tcW w:w="1929"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647F21" w:rsidRPr="003D16B2" w:rsidRDefault="00647F21" w:rsidP="00AC1DD6">
            <w:pPr>
              <w:pStyle w:val="ListParagraph"/>
              <w:spacing w:line="276" w:lineRule="auto"/>
              <w:ind w:left="0"/>
            </w:pPr>
            <w:r w:rsidRPr="003D16B2">
              <w:t>Pensions</w:t>
            </w:r>
          </w:p>
        </w:tc>
        <w:tc>
          <w:tcPr>
            <w:tcW w:w="2835"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647F21" w:rsidRPr="003D16B2" w:rsidRDefault="00647F21" w:rsidP="003D16B2">
            <w:pPr>
              <w:pStyle w:val="ListParagraph"/>
              <w:spacing w:line="276" w:lineRule="auto"/>
              <w:ind w:left="0"/>
            </w:pPr>
            <w:r w:rsidRPr="003D16B2">
              <w:t>Pension sharing orders</w:t>
            </w:r>
          </w:p>
        </w:tc>
        <w:tc>
          <w:tcPr>
            <w:tcW w:w="3038"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647F21" w:rsidRPr="003D16B2" w:rsidRDefault="00647F21" w:rsidP="003D16B2">
            <w:pPr>
              <w:pStyle w:val="ListParagraph"/>
              <w:spacing w:line="276" w:lineRule="auto"/>
              <w:ind w:left="0"/>
            </w:pPr>
            <w:r w:rsidRPr="003D16B2">
              <w:t xml:space="preserve">No </w:t>
            </w:r>
          </w:p>
        </w:tc>
      </w:tr>
      <w:tr w:rsidR="00942C20" w:rsidRPr="00231B27" w:rsidTr="00647B40">
        <w:tc>
          <w:tcPr>
            <w:tcW w:w="1929"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942C20" w:rsidRPr="003D16B2" w:rsidRDefault="00942C20" w:rsidP="00AC1DD6">
            <w:pPr>
              <w:pStyle w:val="ListParagraph"/>
              <w:spacing w:line="276" w:lineRule="auto"/>
              <w:ind w:left="0"/>
              <w:rPr>
                <w:u w:val="single"/>
              </w:rPr>
            </w:pPr>
          </w:p>
        </w:tc>
        <w:tc>
          <w:tcPr>
            <w:tcW w:w="2835"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942C20" w:rsidRPr="003D16B2" w:rsidRDefault="00942C20" w:rsidP="003D16B2">
            <w:pPr>
              <w:pStyle w:val="ListParagraph"/>
              <w:spacing w:line="276" w:lineRule="auto"/>
              <w:ind w:left="0"/>
            </w:pPr>
          </w:p>
        </w:tc>
        <w:tc>
          <w:tcPr>
            <w:tcW w:w="3038"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502236" w:rsidRDefault="00870F4D" w:rsidP="00870F4D">
            <w:pPr>
              <w:pStyle w:val="ListParagraph"/>
              <w:spacing w:line="276" w:lineRule="auto"/>
              <w:ind w:left="0"/>
            </w:pPr>
            <w:r w:rsidRPr="00502236">
              <w:rPr>
                <w:u w:val="single"/>
              </w:rPr>
              <w:t>Caveat</w:t>
            </w:r>
            <w:r w:rsidR="00502236" w:rsidRPr="00502236">
              <w:rPr>
                <w:u w:val="single"/>
              </w:rPr>
              <w:t>s</w:t>
            </w:r>
            <w:r w:rsidR="00502236">
              <w:t>:</w:t>
            </w:r>
          </w:p>
          <w:p w:rsidR="00942C20" w:rsidRDefault="00647B40" w:rsidP="00502236">
            <w:pPr>
              <w:pStyle w:val="ListParagraph"/>
              <w:numPr>
                <w:ilvl w:val="0"/>
                <w:numId w:val="13"/>
              </w:numPr>
              <w:spacing w:line="276" w:lineRule="auto"/>
            </w:pPr>
            <w:r>
              <w:t>With minor children, parallel jurisdiction for</w:t>
            </w:r>
            <w:r w:rsidR="00870F4D">
              <w:t xml:space="preserve"> financial powers under Sch 1 of the </w:t>
            </w:r>
            <w:r w:rsidR="00870F4D" w:rsidRPr="00870F4D">
              <w:rPr>
                <w:u w:val="single"/>
              </w:rPr>
              <w:t>Children Act</w:t>
            </w:r>
            <w:r w:rsidR="00870F4D">
              <w:t>, although these must be for benefit of child</w:t>
            </w:r>
            <w:r w:rsidR="00225CD6">
              <w:t xml:space="preserve">: see </w:t>
            </w:r>
            <w:r w:rsidR="00225CD6">
              <w:rPr>
                <w:i/>
              </w:rPr>
              <w:t xml:space="preserve">W v W </w:t>
            </w:r>
            <w:r w:rsidR="00225CD6">
              <w:t>[2004] 1 FLR 321</w:t>
            </w:r>
          </w:p>
          <w:p w:rsidR="00502236" w:rsidRPr="003D16B2" w:rsidRDefault="008E7F6A" w:rsidP="008E7F6A">
            <w:pPr>
              <w:pStyle w:val="ListParagraph"/>
              <w:numPr>
                <w:ilvl w:val="0"/>
                <w:numId w:val="13"/>
              </w:numPr>
              <w:spacing w:line="276" w:lineRule="auto"/>
            </w:pPr>
            <w:r>
              <w:t xml:space="preserve">Parties can agree to enter into different terms - </w:t>
            </w:r>
            <w:r w:rsidR="00502236" w:rsidRPr="008E7F6A">
              <w:rPr>
                <w:i/>
              </w:rPr>
              <w:t>Tomlin</w:t>
            </w:r>
            <w:r w:rsidR="00502236">
              <w:t xml:space="preserve"> orders </w:t>
            </w:r>
          </w:p>
        </w:tc>
      </w:tr>
      <w:tr w:rsidR="00942C20" w:rsidRPr="00231B27" w:rsidTr="00647B40">
        <w:tc>
          <w:tcPr>
            <w:tcW w:w="1929"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8E7F6A" w:rsidRDefault="008E7F6A" w:rsidP="00AC1DD6">
            <w:pPr>
              <w:pStyle w:val="ListParagraph"/>
              <w:spacing w:line="276" w:lineRule="auto"/>
              <w:ind w:left="0"/>
              <w:rPr>
                <w:b/>
              </w:rPr>
            </w:pPr>
          </w:p>
          <w:p w:rsidR="00647F21" w:rsidRPr="003D16B2" w:rsidRDefault="00AB08FC" w:rsidP="00AC1DD6">
            <w:pPr>
              <w:pStyle w:val="ListParagraph"/>
              <w:spacing w:line="276" w:lineRule="auto"/>
              <w:ind w:left="0"/>
              <w:rPr>
                <w:b/>
              </w:rPr>
            </w:pPr>
            <w:r w:rsidRPr="003D16B2">
              <w:rPr>
                <w:b/>
              </w:rPr>
              <w:t>General points</w:t>
            </w:r>
          </w:p>
        </w:tc>
        <w:tc>
          <w:tcPr>
            <w:tcW w:w="2835"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647F21" w:rsidRPr="003D16B2" w:rsidRDefault="00647F21" w:rsidP="003D16B2">
            <w:pPr>
              <w:pStyle w:val="ListParagraph"/>
              <w:spacing w:line="276" w:lineRule="auto"/>
              <w:ind w:left="0"/>
            </w:pPr>
          </w:p>
        </w:tc>
        <w:tc>
          <w:tcPr>
            <w:tcW w:w="3038"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647F21" w:rsidRPr="003D16B2" w:rsidRDefault="00647F21" w:rsidP="003D16B2">
            <w:pPr>
              <w:pStyle w:val="ListParagraph"/>
              <w:spacing w:line="276" w:lineRule="auto"/>
              <w:ind w:left="0"/>
            </w:pPr>
          </w:p>
        </w:tc>
      </w:tr>
      <w:tr w:rsidR="00AB08FC" w:rsidRPr="00231B27" w:rsidTr="00647B40">
        <w:tc>
          <w:tcPr>
            <w:tcW w:w="1929"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AB08FC" w:rsidRPr="003D16B2" w:rsidRDefault="00AB08FC" w:rsidP="00AC1DD6">
            <w:pPr>
              <w:pStyle w:val="ListParagraph"/>
              <w:spacing w:line="276" w:lineRule="auto"/>
              <w:ind w:left="0"/>
            </w:pPr>
            <w:r w:rsidRPr="003D16B2">
              <w:t>What assets are taken into account</w:t>
            </w:r>
          </w:p>
        </w:tc>
        <w:tc>
          <w:tcPr>
            <w:tcW w:w="2835"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AB08FC" w:rsidRPr="003D16B2" w:rsidRDefault="00AB08FC" w:rsidP="003D16B2">
            <w:pPr>
              <w:pStyle w:val="ListParagraph"/>
              <w:spacing w:line="276" w:lineRule="auto"/>
              <w:ind w:left="0"/>
            </w:pPr>
            <w:r w:rsidRPr="003D16B2">
              <w:t xml:space="preserve">All assets that either party has an interest in, all sources of income, pensions. </w:t>
            </w:r>
          </w:p>
          <w:p w:rsidR="00AB08FC" w:rsidRPr="003D16B2" w:rsidRDefault="00AB08FC" w:rsidP="003D16B2">
            <w:pPr>
              <w:pStyle w:val="ListParagraph"/>
              <w:spacing w:line="276" w:lineRule="auto"/>
              <w:ind w:left="0"/>
            </w:pPr>
            <w:r w:rsidRPr="003D16B2">
              <w:t xml:space="preserve">Even assets which </w:t>
            </w:r>
            <w:r w:rsidR="000D4BD5" w:rsidRPr="003D16B2">
              <w:t>a spouse ‘might’ receive with judicial encouragement (</w:t>
            </w:r>
            <w:r w:rsidR="000D4BD5" w:rsidRPr="003D16B2">
              <w:rPr>
                <w:i/>
              </w:rPr>
              <w:t>Thomas</w:t>
            </w:r>
            <w:r w:rsidR="003D16B2">
              <w:t xml:space="preserve"> </w:t>
            </w:r>
            <w:r w:rsidR="003D16B2">
              <w:rPr>
                <w:i/>
              </w:rPr>
              <w:t>v Thomas [1995] 2 FLR 668</w:t>
            </w:r>
            <w:r w:rsidR="000D4BD5" w:rsidRPr="003D16B2">
              <w:t xml:space="preserve">) </w:t>
            </w:r>
          </w:p>
        </w:tc>
        <w:tc>
          <w:tcPr>
            <w:tcW w:w="3038"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AB08FC" w:rsidRPr="003D16B2" w:rsidRDefault="000D4BD5" w:rsidP="003D16B2">
            <w:pPr>
              <w:pStyle w:val="ListParagraph"/>
              <w:spacing w:line="276" w:lineRule="auto"/>
              <w:ind w:left="0"/>
            </w:pPr>
            <w:r w:rsidRPr="003D16B2">
              <w:t>Real property</w:t>
            </w:r>
          </w:p>
          <w:p w:rsidR="000D4BD5" w:rsidRPr="003D16B2" w:rsidRDefault="00870F4D" w:rsidP="003D16B2">
            <w:pPr>
              <w:pStyle w:val="ListParagraph"/>
              <w:spacing w:line="276" w:lineRule="auto"/>
              <w:ind w:left="0"/>
            </w:pPr>
            <w:r>
              <w:t>Can also be funds in a bank account</w:t>
            </w:r>
            <w:r w:rsidRPr="00DB68C7">
              <w:rPr>
                <w:rStyle w:val="FootnoteReference"/>
                <w:rFonts w:eastAsia="Arial Unicode MS"/>
                <w:kern w:val="24"/>
              </w:rPr>
              <w:footnoteReference w:id="5"/>
            </w:r>
            <w:r>
              <w:t>, chattels</w:t>
            </w:r>
            <w:r w:rsidRPr="00DB68C7">
              <w:rPr>
                <w:rStyle w:val="FootnoteReference"/>
                <w:rFonts w:eastAsia="Arial Unicode MS"/>
                <w:kern w:val="24"/>
              </w:rPr>
              <w:footnoteReference w:id="6"/>
            </w:r>
            <w:r w:rsidRPr="00DB68C7">
              <w:rPr>
                <w:rFonts w:eastAsia="Arial Unicode MS"/>
                <w:kern w:val="24"/>
              </w:rPr>
              <w:t>,</w:t>
            </w:r>
            <w:r>
              <w:rPr>
                <w:rFonts w:eastAsia="Arial Unicode MS"/>
                <w:kern w:val="24"/>
              </w:rPr>
              <w:t xml:space="preserve"> shares in a company</w:t>
            </w:r>
            <w:r w:rsidRPr="00DB68C7">
              <w:rPr>
                <w:rStyle w:val="FootnoteReference"/>
                <w:rFonts w:eastAsia="Arial Unicode MS"/>
                <w:kern w:val="24"/>
              </w:rPr>
              <w:footnoteReference w:id="7"/>
            </w:r>
            <w:r w:rsidRPr="00DB68C7">
              <w:rPr>
                <w:rFonts w:eastAsia="Arial Unicode MS"/>
                <w:kern w:val="24"/>
              </w:rPr>
              <w:t>,</w:t>
            </w:r>
            <w:r>
              <w:rPr>
                <w:rFonts w:eastAsia="Arial Unicode MS"/>
                <w:kern w:val="24"/>
              </w:rPr>
              <w:t xml:space="preserve"> a yacht</w:t>
            </w:r>
          </w:p>
        </w:tc>
      </w:tr>
      <w:tr w:rsidR="00870F4D" w:rsidRPr="00231B27" w:rsidTr="00647B40">
        <w:tc>
          <w:tcPr>
            <w:tcW w:w="1929"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870F4D" w:rsidRPr="003D16B2" w:rsidRDefault="00870F4D" w:rsidP="00AC1DD6">
            <w:pPr>
              <w:pStyle w:val="ListParagraph"/>
              <w:spacing w:line="276" w:lineRule="auto"/>
              <w:ind w:left="0"/>
            </w:pPr>
            <w:r>
              <w:t>Checklist of factors</w:t>
            </w:r>
          </w:p>
        </w:tc>
        <w:tc>
          <w:tcPr>
            <w:tcW w:w="2835"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870F4D" w:rsidRPr="003D16B2" w:rsidRDefault="00870F4D" w:rsidP="00870F4D">
            <w:pPr>
              <w:pStyle w:val="ListParagraph"/>
              <w:spacing w:line="276" w:lineRule="auto"/>
              <w:ind w:left="0"/>
            </w:pPr>
            <w:r w:rsidRPr="00870F4D">
              <w:rPr>
                <w:u w:val="single"/>
              </w:rPr>
              <w:t>Matrimonial Causes Act 1973</w:t>
            </w:r>
            <w:r>
              <w:t>, s 25(2)</w:t>
            </w:r>
          </w:p>
        </w:tc>
        <w:tc>
          <w:tcPr>
            <w:tcW w:w="3038"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870F4D" w:rsidRPr="00870F4D" w:rsidRDefault="00870F4D" w:rsidP="003D16B2">
            <w:pPr>
              <w:pStyle w:val="ListParagraph"/>
              <w:spacing w:line="276" w:lineRule="auto"/>
              <w:ind w:left="0"/>
            </w:pPr>
            <w:r>
              <w:rPr>
                <w:u w:val="single"/>
              </w:rPr>
              <w:t>TOLATA 1996</w:t>
            </w:r>
            <w:r>
              <w:t>, s 15 (intentions, purposes, welfare of minor, secured creditor)</w:t>
            </w:r>
          </w:p>
        </w:tc>
      </w:tr>
      <w:tr w:rsidR="00942C20" w:rsidRPr="00231B27" w:rsidTr="00647B40">
        <w:tc>
          <w:tcPr>
            <w:tcW w:w="1929"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647F21" w:rsidRPr="003D16B2" w:rsidRDefault="00AC1DD6" w:rsidP="00AC1DD6">
            <w:pPr>
              <w:pStyle w:val="ListParagraph"/>
              <w:spacing w:line="276" w:lineRule="auto"/>
              <w:ind w:left="0"/>
            </w:pPr>
            <w:r>
              <w:lastRenderedPageBreak/>
              <w:t>The c</w:t>
            </w:r>
            <w:r w:rsidR="00942C20" w:rsidRPr="003D16B2">
              <w:t>ourt’s approach</w:t>
            </w:r>
          </w:p>
        </w:tc>
        <w:tc>
          <w:tcPr>
            <w:tcW w:w="2835"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647F21" w:rsidRPr="003D16B2" w:rsidRDefault="00942C20" w:rsidP="00870F4D">
            <w:pPr>
              <w:pStyle w:val="ListParagraph"/>
              <w:spacing w:line="276" w:lineRule="auto"/>
              <w:ind w:left="0"/>
            </w:pPr>
            <w:r w:rsidRPr="003D16B2">
              <w:t>Court applies a broad discretion to achieve fairness</w:t>
            </w:r>
            <w:r w:rsidR="00BE5454">
              <w:t xml:space="preserve"> </w:t>
            </w:r>
          </w:p>
        </w:tc>
        <w:tc>
          <w:tcPr>
            <w:tcW w:w="3038"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8E7F6A" w:rsidRDefault="008E7F6A" w:rsidP="003D16B2">
            <w:pPr>
              <w:pStyle w:val="ListParagraph"/>
              <w:spacing w:line="276" w:lineRule="auto"/>
              <w:ind w:left="0"/>
            </w:pPr>
            <w:r>
              <w:t xml:space="preserve">In determining whether a </w:t>
            </w:r>
            <w:r w:rsidR="00AC1DD6">
              <w:t>claimant has an interest in a property</w:t>
            </w:r>
            <w:r>
              <w:t xml:space="preserve">, the court has </w:t>
            </w:r>
            <w:r w:rsidRPr="008E7F6A">
              <w:rPr>
                <w:u w:val="single"/>
              </w:rPr>
              <w:t>no</w:t>
            </w:r>
            <w:r>
              <w:t xml:space="preserve"> discretion</w:t>
            </w:r>
            <w:r w:rsidR="00AC1DD6">
              <w:t xml:space="preserve">. </w:t>
            </w:r>
          </w:p>
          <w:p w:rsidR="008E7F6A" w:rsidRDefault="008E7F6A" w:rsidP="003D16B2">
            <w:pPr>
              <w:pStyle w:val="ListParagraph"/>
              <w:spacing w:line="276" w:lineRule="auto"/>
              <w:ind w:left="0"/>
            </w:pPr>
          </w:p>
          <w:p w:rsidR="00647F21" w:rsidRDefault="00AC1DD6" w:rsidP="003D16B2">
            <w:pPr>
              <w:pStyle w:val="ListParagraph"/>
              <w:spacing w:line="276" w:lineRule="auto"/>
              <w:ind w:left="0"/>
            </w:pPr>
            <w:r>
              <w:t xml:space="preserve">s 14 </w:t>
            </w:r>
            <w:r w:rsidR="008E7F6A">
              <w:t xml:space="preserve">TOLATA enables discretion </w:t>
            </w:r>
            <w:r>
              <w:t>as to whether there should be a sale etc.</w:t>
            </w:r>
          </w:p>
          <w:p w:rsidR="00942C20" w:rsidRPr="003D16B2" w:rsidRDefault="00942C20" w:rsidP="003D16B2">
            <w:pPr>
              <w:pStyle w:val="ListParagraph"/>
              <w:spacing w:line="276" w:lineRule="auto"/>
              <w:ind w:left="0"/>
            </w:pPr>
          </w:p>
        </w:tc>
      </w:tr>
      <w:tr w:rsidR="00AB08FC" w:rsidRPr="00231B27" w:rsidTr="00647B40">
        <w:tc>
          <w:tcPr>
            <w:tcW w:w="1929"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AB08FC" w:rsidRPr="003D16B2" w:rsidRDefault="00AB08FC" w:rsidP="00AC1DD6">
            <w:pPr>
              <w:pStyle w:val="ListParagraph"/>
              <w:spacing w:line="276" w:lineRule="auto"/>
              <w:ind w:left="0"/>
            </w:pPr>
            <w:r w:rsidRPr="003D16B2">
              <w:t>Significance of prior agreement</w:t>
            </w:r>
          </w:p>
        </w:tc>
        <w:tc>
          <w:tcPr>
            <w:tcW w:w="2835"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AB08FC" w:rsidRPr="003D16B2" w:rsidRDefault="00AB08FC" w:rsidP="003D16B2">
            <w:pPr>
              <w:pStyle w:val="ListParagraph"/>
              <w:spacing w:line="276" w:lineRule="auto"/>
              <w:ind w:left="0"/>
            </w:pPr>
            <w:r w:rsidRPr="003D16B2">
              <w:t>Pre-nuptial contract</w:t>
            </w:r>
            <w:r w:rsidR="00BE5454">
              <w:t>s are not enforceable but</w:t>
            </w:r>
            <w:r w:rsidRPr="003D16B2">
              <w:t xml:space="preserve"> may be a factor of ‘magnetic importance’</w:t>
            </w:r>
            <w:r w:rsidR="00BE5454">
              <w:t xml:space="preserve"> (</w:t>
            </w:r>
            <w:r w:rsidR="00BE5454" w:rsidRPr="00BE5454">
              <w:rPr>
                <w:i/>
              </w:rPr>
              <w:t>Radmacher v Granatino</w:t>
            </w:r>
            <w:r w:rsidR="00BE5454">
              <w:t xml:space="preserve"> [2009] 2 FLR 1181]</w:t>
            </w:r>
            <w:r w:rsidR="008E7F6A">
              <w:t xml:space="preserve"> – </w:t>
            </w:r>
            <w:r w:rsidR="008E7F6A" w:rsidRPr="008E7F6A">
              <w:rPr>
                <w:u w:val="single"/>
              </w:rPr>
              <w:t>[NB Supreme Court to hear appeal in 2010]</w:t>
            </w:r>
          </w:p>
          <w:p w:rsidR="00AB08FC" w:rsidRPr="003D16B2" w:rsidRDefault="00AB08FC" w:rsidP="003D16B2">
            <w:pPr>
              <w:pStyle w:val="ListParagraph"/>
              <w:spacing w:line="276" w:lineRule="auto"/>
              <w:ind w:left="0"/>
            </w:pPr>
            <w:r w:rsidRPr="003D16B2">
              <w:t>Post-nuptial contract may be binding</w:t>
            </w:r>
            <w:r w:rsidR="00BE5454">
              <w:t xml:space="preserve"> (</w:t>
            </w:r>
            <w:r w:rsidR="00BE5454" w:rsidRPr="00BE5454">
              <w:rPr>
                <w:i/>
              </w:rPr>
              <w:t>Macleod v Macleod</w:t>
            </w:r>
            <w:r w:rsidR="00BE5454">
              <w:t xml:space="preserve"> [2009] 1 FLR 641)</w:t>
            </w:r>
          </w:p>
        </w:tc>
        <w:tc>
          <w:tcPr>
            <w:tcW w:w="3038"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AB08FC" w:rsidRPr="003D16B2" w:rsidRDefault="00AB08FC" w:rsidP="003D16B2">
            <w:pPr>
              <w:pStyle w:val="ListParagraph"/>
              <w:spacing w:line="276" w:lineRule="auto"/>
              <w:ind w:left="0"/>
            </w:pPr>
            <w:r w:rsidRPr="003D16B2">
              <w:t>An express declaration of trust</w:t>
            </w:r>
            <w:r w:rsidR="00870F4D">
              <w:t xml:space="preserve">, compliant with </w:t>
            </w:r>
            <w:r w:rsidR="008E7F6A">
              <w:t xml:space="preserve">s 53 </w:t>
            </w:r>
            <w:r w:rsidR="00870F4D" w:rsidRPr="00870F4D">
              <w:rPr>
                <w:u w:val="single"/>
              </w:rPr>
              <w:t>Law of Property Act 1925</w:t>
            </w:r>
            <w:r w:rsidR="00870F4D" w:rsidRPr="008E7F6A">
              <w:rPr>
                <w:u w:val="single"/>
              </w:rPr>
              <w:t xml:space="preserve"> </w:t>
            </w:r>
            <w:r w:rsidRPr="003D16B2">
              <w:t xml:space="preserve"> </w:t>
            </w:r>
            <w:r w:rsidRPr="008E7F6A">
              <w:t>is</w:t>
            </w:r>
            <w:r w:rsidRPr="003D16B2">
              <w:t xml:space="preserve"> binding and conclusive save in exceptional circumstances.</w:t>
            </w:r>
          </w:p>
        </w:tc>
      </w:tr>
      <w:tr w:rsidR="000D4BD5" w:rsidRPr="00231B27" w:rsidTr="00647B40">
        <w:tc>
          <w:tcPr>
            <w:tcW w:w="1929"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8E7F6A" w:rsidRDefault="008E7F6A" w:rsidP="00AC1DD6">
            <w:pPr>
              <w:pStyle w:val="ListParagraph"/>
              <w:spacing w:line="276" w:lineRule="auto"/>
              <w:ind w:left="0"/>
              <w:rPr>
                <w:b/>
              </w:rPr>
            </w:pPr>
          </w:p>
          <w:p w:rsidR="000D4BD5" w:rsidRPr="003D16B2" w:rsidRDefault="000D4BD5" w:rsidP="00AC1DD6">
            <w:pPr>
              <w:pStyle w:val="ListParagraph"/>
              <w:spacing w:line="276" w:lineRule="auto"/>
              <w:ind w:left="0"/>
              <w:rPr>
                <w:b/>
              </w:rPr>
            </w:pPr>
            <w:r w:rsidRPr="003D16B2">
              <w:rPr>
                <w:b/>
              </w:rPr>
              <w:t>Procedure</w:t>
            </w:r>
          </w:p>
        </w:tc>
        <w:tc>
          <w:tcPr>
            <w:tcW w:w="2835"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0D4BD5" w:rsidRPr="003D16B2" w:rsidRDefault="000D4BD5" w:rsidP="003D16B2">
            <w:pPr>
              <w:pStyle w:val="ListParagraph"/>
              <w:spacing w:line="276" w:lineRule="auto"/>
              <w:ind w:left="0"/>
            </w:pPr>
          </w:p>
        </w:tc>
        <w:tc>
          <w:tcPr>
            <w:tcW w:w="3038"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0D4BD5" w:rsidRPr="003D16B2" w:rsidRDefault="000D4BD5" w:rsidP="003D16B2">
            <w:pPr>
              <w:pStyle w:val="ListParagraph"/>
              <w:spacing w:line="276" w:lineRule="auto"/>
              <w:ind w:left="0"/>
            </w:pPr>
          </w:p>
        </w:tc>
      </w:tr>
      <w:tr w:rsidR="000D4BD5" w:rsidRPr="00231B27" w:rsidTr="00647B40">
        <w:tc>
          <w:tcPr>
            <w:tcW w:w="1929"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0D4BD5" w:rsidRPr="003D16B2" w:rsidRDefault="000D4BD5" w:rsidP="00AC1DD6">
            <w:pPr>
              <w:pStyle w:val="ListParagraph"/>
              <w:spacing w:line="276" w:lineRule="auto"/>
              <w:ind w:left="0"/>
            </w:pPr>
            <w:r w:rsidRPr="003D16B2">
              <w:t>Parties</w:t>
            </w:r>
          </w:p>
        </w:tc>
        <w:tc>
          <w:tcPr>
            <w:tcW w:w="2835"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0D4BD5" w:rsidRPr="003D16B2" w:rsidRDefault="000D4BD5" w:rsidP="003D16B2">
            <w:pPr>
              <w:pStyle w:val="ListParagraph"/>
              <w:spacing w:line="276" w:lineRule="auto"/>
              <w:ind w:left="0"/>
            </w:pPr>
            <w:r w:rsidRPr="003D16B2">
              <w:t>Applicant/ Respondent</w:t>
            </w:r>
          </w:p>
        </w:tc>
        <w:tc>
          <w:tcPr>
            <w:tcW w:w="3038"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0D4BD5" w:rsidRPr="003D16B2" w:rsidRDefault="000D4BD5" w:rsidP="003D16B2">
            <w:pPr>
              <w:pStyle w:val="ListParagraph"/>
              <w:spacing w:line="276" w:lineRule="auto"/>
              <w:ind w:left="0"/>
            </w:pPr>
            <w:r w:rsidRPr="003D16B2">
              <w:t>Claimant/ Defendant</w:t>
            </w:r>
          </w:p>
        </w:tc>
      </w:tr>
      <w:tr w:rsidR="000D4BD5" w:rsidRPr="00231B27" w:rsidTr="00647B40">
        <w:tc>
          <w:tcPr>
            <w:tcW w:w="1929"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0D4BD5" w:rsidRPr="003D16B2" w:rsidRDefault="000D4BD5" w:rsidP="00AC1DD6">
            <w:pPr>
              <w:pStyle w:val="ListParagraph"/>
              <w:spacing w:line="276" w:lineRule="auto"/>
              <w:ind w:left="0"/>
            </w:pPr>
            <w:r w:rsidRPr="003D16B2">
              <w:t>Applicable rules</w:t>
            </w:r>
          </w:p>
        </w:tc>
        <w:tc>
          <w:tcPr>
            <w:tcW w:w="2835"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0D4BD5" w:rsidRPr="003D16B2" w:rsidRDefault="000D4BD5" w:rsidP="00BE5454">
            <w:pPr>
              <w:pStyle w:val="ListParagraph"/>
              <w:spacing w:line="276" w:lineRule="auto"/>
              <w:ind w:left="0"/>
            </w:pPr>
            <w:r w:rsidRPr="003D16B2">
              <w:t>FPR 1991</w:t>
            </w:r>
            <w:r w:rsidR="00BE5454">
              <w:t>, i.e. FDA, questionnaires, FDR, final hearing</w:t>
            </w:r>
          </w:p>
        </w:tc>
        <w:tc>
          <w:tcPr>
            <w:tcW w:w="3038"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0D4BD5" w:rsidRPr="003D16B2" w:rsidRDefault="00BE5454" w:rsidP="00BE5454">
            <w:pPr>
              <w:pStyle w:val="ListParagraph"/>
              <w:spacing w:line="276" w:lineRule="auto"/>
              <w:ind w:left="0"/>
            </w:pPr>
            <w:r>
              <w:t>CPR 1998, i.e. allocation, CMC, trial</w:t>
            </w:r>
          </w:p>
        </w:tc>
      </w:tr>
      <w:tr w:rsidR="00320044" w:rsidRPr="00231B27" w:rsidTr="00647B40">
        <w:tc>
          <w:tcPr>
            <w:tcW w:w="1929"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320044" w:rsidRDefault="00320044" w:rsidP="00AC1DD6">
            <w:pPr>
              <w:pStyle w:val="ListParagraph"/>
              <w:spacing w:line="276" w:lineRule="auto"/>
              <w:ind w:left="0"/>
            </w:pPr>
            <w:r>
              <w:t>Funding</w:t>
            </w:r>
          </w:p>
        </w:tc>
        <w:tc>
          <w:tcPr>
            <w:tcW w:w="2835"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320044" w:rsidRPr="003D16B2" w:rsidRDefault="00320044" w:rsidP="003D16B2">
            <w:pPr>
              <w:pStyle w:val="ListParagraph"/>
              <w:spacing w:line="276" w:lineRule="auto"/>
              <w:ind w:left="0"/>
            </w:pPr>
            <w:r>
              <w:t>Private or GFS</w:t>
            </w:r>
          </w:p>
        </w:tc>
        <w:tc>
          <w:tcPr>
            <w:tcW w:w="3038"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320044" w:rsidRPr="003D16B2" w:rsidRDefault="00EE7E14" w:rsidP="003D16B2">
            <w:pPr>
              <w:pStyle w:val="ListParagraph"/>
              <w:spacing w:line="276" w:lineRule="auto"/>
              <w:ind w:left="0"/>
            </w:pPr>
            <w:r>
              <w:t>Private, ‘c</w:t>
            </w:r>
            <w:r w:rsidR="00320044">
              <w:t xml:space="preserve">ivil’ legal aid or CFA </w:t>
            </w:r>
          </w:p>
        </w:tc>
      </w:tr>
      <w:tr w:rsidR="000D4BD5" w:rsidRPr="00231B27" w:rsidTr="00647B40">
        <w:tc>
          <w:tcPr>
            <w:tcW w:w="1929"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0D4BD5" w:rsidRPr="003D16B2" w:rsidRDefault="00BE5454" w:rsidP="00AC1DD6">
            <w:pPr>
              <w:pStyle w:val="ListParagraph"/>
              <w:spacing w:line="276" w:lineRule="auto"/>
              <w:ind w:left="0"/>
            </w:pPr>
            <w:r>
              <w:t>Statements of case</w:t>
            </w:r>
          </w:p>
        </w:tc>
        <w:tc>
          <w:tcPr>
            <w:tcW w:w="2835"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0D4BD5" w:rsidRPr="003D16B2" w:rsidRDefault="000D4BD5" w:rsidP="003D16B2">
            <w:pPr>
              <w:pStyle w:val="ListParagraph"/>
              <w:spacing w:line="276" w:lineRule="auto"/>
              <w:ind w:left="0"/>
            </w:pPr>
            <w:r w:rsidRPr="003D16B2">
              <w:t>Comprehensive ‘Form E’ financial statement</w:t>
            </w:r>
            <w:r w:rsidR="00EE7E14">
              <w:t>, questionnaires, possibly sworn statements</w:t>
            </w:r>
          </w:p>
        </w:tc>
        <w:tc>
          <w:tcPr>
            <w:tcW w:w="3038"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0D4BD5" w:rsidRPr="003D16B2" w:rsidRDefault="000D4BD5" w:rsidP="003D16B2">
            <w:pPr>
              <w:pStyle w:val="ListParagraph"/>
              <w:spacing w:line="276" w:lineRule="auto"/>
              <w:ind w:left="0"/>
            </w:pPr>
            <w:r w:rsidRPr="003D16B2">
              <w:t xml:space="preserve">Most claims under </w:t>
            </w:r>
            <w:r w:rsidR="00EE7E14">
              <w:t xml:space="preserve">CPR </w:t>
            </w:r>
            <w:r w:rsidRPr="003D16B2">
              <w:t>Part 7, which require statements of case, i.e. particulars of claim/ defence</w:t>
            </w:r>
          </w:p>
          <w:p w:rsidR="00EE7E14" w:rsidRDefault="00EE7E14" w:rsidP="003D16B2">
            <w:pPr>
              <w:pStyle w:val="ListParagraph"/>
              <w:spacing w:line="276" w:lineRule="auto"/>
              <w:ind w:left="0"/>
            </w:pPr>
          </w:p>
          <w:p w:rsidR="000D4BD5" w:rsidRPr="003D16B2" w:rsidRDefault="00EE7E14" w:rsidP="003D16B2">
            <w:pPr>
              <w:pStyle w:val="ListParagraph"/>
              <w:spacing w:line="276" w:lineRule="auto"/>
              <w:ind w:left="0"/>
            </w:pPr>
            <w:r>
              <w:t xml:space="preserve">If a case </w:t>
            </w:r>
            <w:r w:rsidR="000D4BD5" w:rsidRPr="003D16B2">
              <w:t xml:space="preserve">does not involve a ‘substantial dispute of fact’ </w:t>
            </w:r>
            <w:r>
              <w:t>(and most do)</w:t>
            </w:r>
            <w:r w:rsidR="000D4BD5" w:rsidRPr="003D16B2">
              <w:t xml:space="preserve">– </w:t>
            </w:r>
            <w:r>
              <w:t>the alternative procedure at Part 8 can be used = sworn statements.</w:t>
            </w:r>
          </w:p>
        </w:tc>
      </w:tr>
      <w:tr w:rsidR="00A042D7" w:rsidRPr="00231B27" w:rsidTr="00647B40">
        <w:tc>
          <w:tcPr>
            <w:tcW w:w="1929"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A042D7" w:rsidRPr="003D16B2" w:rsidRDefault="00A042D7" w:rsidP="00AC1DD6">
            <w:pPr>
              <w:pStyle w:val="ListParagraph"/>
              <w:spacing w:line="276" w:lineRule="auto"/>
              <w:ind w:left="0"/>
            </w:pPr>
            <w:r>
              <w:t>Offers</w:t>
            </w:r>
          </w:p>
        </w:tc>
        <w:tc>
          <w:tcPr>
            <w:tcW w:w="2835"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A042D7" w:rsidRDefault="00A042D7" w:rsidP="003D16B2">
            <w:pPr>
              <w:pStyle w:val="ListParagraph"/>
              <w:spacing w:line="276" w:lineRule="auto"/>
              <w:ind w:left="0"/>
            </w:pPr>
            <w:r>
              <w:t>Only open offers admissible</w:t>
            </w:r>
            <w:r w:rsidR="00EE7E14">
              <w:t xml:space="preserve"> (FPR r 2.71)</w:t>
            </w:r>
            <w:r>
              <w:t xml:space="preserve"> </w:t>
            </w:r>
          </w:p>
        </w:tc>
        <w:tc>
          <w:tcPr>
            <w:tcW w:w="3038"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A042D7" w:rsidRPr="003D16B2" w:rsidRDefault="00EE7E14" w:rsidP="00EE7E14">
            <w:pPr>
              <w:pStyle w:val="ListParagraph"/>
              <w:spacing w:line="276" w:lineRule="auto"/>
              <w:ind w:left="0"/>
            </w:pPr>
            <w:r>
              <w:t xml:space="preserve">CPR </w:t>
            </w:r>
            <w:r w:rsidR="00022DD6">
              <w:t xml:space="preserve">Part 36 </w:t>
            </w:r>
          </w:p>
        </w:tc>
      </w:tr>
      <w:tr w:rsidR="000D4BD5" w:rsidRPr="00231B27" w:rsidTr="00647B40">
        <w:tc>
          <w:tcPr>
            <w:tcW w:w="1929"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0D4BD5" w:rsidRPr="003D16B2" w:rsidRDefault="000D4BD5" w:rsidP="00AC1DD6">
            <w:pPr>
              <w:pStyle w:val="ListParagraph"/>
              <w:spacing w:line="276" w:lineRule="auto"/>
              <w:ind w:left="0"/>
            </w:pPr>
            <w:r w:rsidRPr="003D16B2">
              <w:t>Costs</w:t>
            </w:r>
          </w:p>
        </w:tc>
        <w:tc>
          <w:tcPr>
            <w:tcW w:w="2835"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0D4BD5" w:rsidRPr="003D16B2" w:rsidRDefault="00BE5454" w:rsidP="003D16B2">
            <w:pPr>
              <w:pStyle w:val="ListParagraph"/>
              <w:spacing w:line="276" w:lineRule="auto"/>
              <w:ind w:left="0"/>
            </w:pPr>
            <w:r>
              <w:t>P</w:t>
            </w:r>
            <w:r w:rsidR="000D4BD5" w:rsidRPr="003D16B2">
              <w:t>resumption of no order as to costs (r 2.71)</w:t>
            </w:r>
          </w:p>
        </w:tc>
        <w:tc>
          <w:tcPr>
            <w:tcW w:w="3038"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0D4BD5" w:rsidRPr="003D16B2" w:rsidRDefault="00EE7E14" w:rsidP="003D16B2">
            <w:pPr>
              <w:pStyle w:val="ListParagraph"/>
              <w:spacing w:line="276" w:lineRule="auto"/>
              <w:ind w:left="0"/>
            </w:pPr>
            <w:r>
              <w:t xml:space="preserve">CPR Part 44, 45 </w:t>
            </w:r>
            <w:r w:rsidR="000D4BD5" w:rsidRPr="003D16B2">
              <w:t>‘</w:t>
            </w:r>
            <w:r w:rsidR="00BE5454">
              <w:t>C</w:t>
            </w:r>
            <w:r w:rsidR="000D4BD5" w:rsidRPr="003D16B2">
              <w:t>ivil’ rules on</w:t>
            </w:r>
            <w:r w:rsidR="00BE5454">
              <w:t xml:space="preserve"> costs</w:t>
            </w:r>
          </w:p>
        </w:tc>
      </w:tr>
      <w:tr w:rsidR="000D4BD5" w:rsidRPr="00231B27" w:rsidTr="00647B40">
        <w:tc>
          <w:tcPr>
            <w:tcW w:w="1929" w:type="dxa"/>
            <w:tcBorders>
              <w:top w:val="single" w:sz="2" w:space="0" w:color="000000" w:themeColor="text1"/>
            </w:tcBorders>
          </w:tcPr>
          <w:p w:rsidR="000D4BD5" w:rsidRPr="003D16B2" w:rsidRDefault="005007C9" w:rsidP="00AC1DD6">
            <w:pPr>
              <w:pStyle w:val="ListParagraph"/>
              <w:spacing w:line="276" w:lineRule="auto"/>
              <w:ind w:left="0"/>
            </w:pPr>
            <w:r>
              <w:t>Consent orders</w:t>
            </w:r>
          </w:p>
        </w:tc>
        <w:tc>
          <w:tcPr>
            <w:tcW w:w="2835" w:type="dxa"/>
            <w:tcBorders>
              <w:top w:val="single" w:sz="2" w:space="0" w:color="000000" w:themeColor="text1"/>
            </w:tcBorders>
          </w:tcPr>
          <w:p w:rsidR="000D4BD5" w:rsidRPr="003D16B2" w:rsidRDefault="005007C9" w:rsidP="003D16B2">
            <w:pPr>
              <w:pStyle w:val="ListParagraph"/>
              <w:spacing w:line="276" w:lineRule="auto"/>
              <w:ind w:left="0"/>
            </w:pPr>
            <w:r>
              <w:t>Court’s approval is required</w:t>
            </w:r>
          </w:p>
        </w:tc>
        <w:tc>
          <w:tcPr>
            <w:tcW w:w="3038" w:type="dxa"/>
            <w:tcBorders>
              <w:top w:val="single" w:sz="2" w:space="0" w:color="000000" w:themeColor="text1"/>
            </w:tcBorders>
          </w:tcPr>
          <w:p w:rsidR="000D4BD5" w:rsidRPr="003D16B2" w:rsidRDefault="005007C9" w:rsidP="003D16B2">
            <w:pPr>
              <w:pStyle w:val="ListParagraph"/>
              <w:spacing w:line="276" w:lineRule="auto"/>
              <w:ind w:left="0"/>
            </w:pPr>
            <w:r>
              <w:t>Parties enter into ‘</w:t>
            </w:r>
            <w:r w:rsidRPr="00EE7E14">
              <w:rPr>
                <w:i/>
              </w:rPr>
              <w:t>Tomlin’</w:t>
            </w:r>
            <w:r>
              <w:t xml:space="preserve"> orders </w:t>
            </w:r>
            <w:r w:rsidR="00502236">
              <w:t>incorporating whatever terms they wish.</w:t>
            </w:r>
          </w:p>
        </w:tc>
      </w:tr>
    </w:tbl>
    <w:p w:rsidR="00647F21" w:rsidRDefault="00647F21" w:rsidP="00231B27">
      <w:pPr>
        <w:pStyle w:val="ListParagraph"/>
        <w:ind w:left="1440"/>
        <w:jc w:val="both"/>
      </w:pPr>
    </w:p>
    <w:p w:rsidR="00647B40" w:rsidRDefault="00647B40" w:rsidP="00231B27">
      <w:pPr>
        <w:pStyle w:val="ListParagraph"/>
        <w:ind w:left="1440"/>
        <w:jc w:val="both"/>
      </w:pPr>
    </w:p>
    <w:p w:rsidR="00647B40" w:rsidRDefault="00647B40" w:rsidP="00231B27">
      <w:pPr>
        <w:pStyle w:val="ListParagraph"/>
        <w:ind w:left="1440"/>
        <w:jc w:val="both"/>
      </w:pPr>
    </w:p>
    <w:p w:rsidR="005227F0" w:rsidRPr="00502236" w:rsidRDefault="005227F0" w:rsidP="00231B27">
      <w:pPr>
        <w:jc w:val="both"/>
        <w:rPr>
          <w:i/>
          <w:u w:val="double"/>
        </w:rPr>
      </w:pPr>
      <w:r w:rsidRPr="00502236">
        <w:rPr>
          <w:i/>
          <w:u w:val="double"/>
        </w:rPr>
        <w:lastRenderedPageBreak/>
        <w:t>Express declarations of trust</w:t>
      </w:r>
    </w:p>
    <w:p w:rsidR="00C72553" w:rsidRDefault="00F55CCA" w:rsidP="00C72553">
      <w:pPr>
        <w:pStyle w:val="ListParagraph"/>
        <w:numPr>
          <w:ilvl w:val="0"/>
          <w:numId w:val="1"/>
        </w:numPr>
        <w:spacing w:after="0"/>
        <w:ind w:hanging="720"/>
        <w:jc w:val="both"/>
      </w:pPr>
      <w:r>
        <w:t>Where a property is co-owned, the first port of call is to check the Transfer Form (</w:t>
      </w:r>
      <w:r w:rsidR="00575B65">
        <w:t>since 1998</w:t>
      </w:r>
      <w:r w:rsidR="00502236">
        <w:t xml:space="preserve">, the </w:t>
      </w:r>
      <w:r>
        <w:t xml:space="preserve">Form TR1). Does it contain (or does a separate deed contain) a </w:t>
      </w:r>
      <w:r w:rsidRPr="00F67CB7">
        <w:rPr>
          <w:u w:val="single"/>
        </w:rPr>
        <w:t>signed</w:t>
      </w:r>
      <w:r>
        <w:t xml:space="preserve"> declaration as to the owners </w:t>
      </w:r>
      <w:r w:rsidRPr="00C72553">
        <w:t xml:space="preserve">beneficial interest? </w:t>
      </w:r>
    </w:p>
    <w:p w:rsidR="00F67CB7" w:rsidRDefault="00F67CB7" w:rsidP="00F67CB7">
      <w:pPr>
        <w:pStyle w:val="ListParagraph"/>
        <w:spacing w:after="0"/>
        <w:jc w:val="both"/>
      </w:pPr>
    </w:p>
    <w:p w:rsidR="00C72553" w:rsidRPr="00C72553" w:rsidRDefault="00F55CCA" w:rsidP="00C72553">
      <w:pPr>
        <w:pStyle w:val="ListParagraph"/>
        <w:numPr>
          <w:ilvl w:val="0"/>
          <w:numId w:val="1"/>
        </w:numPr>
        <w:ind w:hanging="720"/>
        <w:jc w:val="both"/>
      </w:pPr>
      <w:r>
        <w:t xml:space="preserve">The wording to watch out for is: </w:t>
      </w:r>
      <w:r w:rsidRPr="00EE7E14">
        <w:rPr>
          <w:i/>
        </w:rPr>
        <w:t>“</w:t>
      </w:r>
      <w:r w:rsidR="00EE7E14" w:rsidRPr="00EE7E14">
        <w:rPr>
          <w:i/>
        </w:rPr>
        <w:t>...</w:t>
      </w:r>
      <w:r w:rsidRPr="00EE7E14">
        <w:rPr>
          <w:i/>
        </w:rPr>
        <w:t>they are to hold the property for themselves as joint tenants”</w:t>
      </w:r>
      <w:r>
        <w:t xml:space="preserve">. </w:t>
      </w:r>
      <w:r w:rsidR="00C72553">
        <w:t xml:space="preserve">This creates a beneficial joint tenancy in </w:t>
      </w:r>
      <w:r w:rsidR="00C72553" w:rsidRPr="00C72553">
        <w:rPr>
          <w:u w:val="single"/>
        </w:rPr>
        <w:t>equal shares</w:t>
      </w:r>
      <w:r w:rsidR="00C72553">
        <w:t xml:space="preserve"> regardless of who contributed the greater amount, and (save for cases of fraud and mistake) there is no scope to argue for an unequal share based upon common intention or financial contribution</w:t>
      </w:r>
      <w:r w:rsidR="00C72553" w:rsidRPr="00C72553">
        <w:rPr>
          <w:rFonts w:eastAsia="Arial Unicode MS"/>
          <w:kern w:val="24"/>
        </w:rPr>
        <w:t>;</w:t>
      </w:r>
    </w:p>
    <w:p w:rsidR="00C72553" w:rsidRDefault="00C72553" w:rsidP="00C72553">
      <w:pPr>
        <w:spacing w:line="276" w:lineRule="auto"/>
        <w:ind w:left="1440" w:right="495"/>
        <w:jc w:val="both"/>
        <w:rPr>
          <w:color w:val="000000"/>
          <w:sz w:val="21"/>
          <w:szCs w:val="21"/>
        </w:rPr>
      </w:pPr>
      <w:r w:rsidRPr="00C72553">
        <w:rPr>
          <w:color w:val="000000"/>
          <w:sz w:val="21"/>
          <w:szCs w:val="21"/>
        </w:rPr>
        <w:t>“In the first place, the beneficial ownership of the property in question must depend on the agreement of the parties determined at the time of its acquisition. If the property in question is land there must be some lease or conveyance which shows how it was acquired. If that document declares not merely in whom the legal title is to vest but in whom the beneficial title is to vest that necessarily concludes the question of title as between the spouses for all time, and in the absence of fraud or mistake at the time of the transaction the parties cannot go behind it at any time thereafter even on death or the break-up of the marriage.”</w:t>
      </w:r>
      <w:r w:rsidRPr="00C72553">
        <w:rPr>
          <w:i/>
          <w:color w:val="000000"/>
          <w:sz w:val="21"/>
          <w:szCs w:val="21"/>
        </w:rPr>
        <w:t xml:space="preserve"> Pettitt v Pettitt</w:t>
      </w:r>
      <w:r w:rsidRPr="00C72553">
        <w:rPr>
          <w:color w:val="000000"/>
          <w:sz w:val="21"/>
          <w:szCs w:val="21"/>
        </w:rPr>
        <w:t xml:space="preserve"> [1969] 2 All ER 385, per Lord Upjohn at 405</w:t>
      </w:r>
    </w:p>
    <w:p w:rsidR="00C72553" w:rsidRPr="00C72553" w:rsidRDefault="00C72553" w:rsidP="00C72553">
      <w:pPr>
        <w:spacing w:line="276" w:lineRule="auto"/>
        <w:ind w:left="1440" w:right="495"/>
        <w:jc w:val="both"/>
        <w:rPr>
          <w:color w:val="000000"/>
          <w:sz w:val="21"/>
          <w:szCs w:val="21"/>
        </w:rPr>
      </w:pPr>
      <w:r w:rsidRPr="00C72553">
        <w:rPr>
          <w:rFonts w:eastAsia="Arial Unicode MS"/>
          <w:kern w:val="24"/>
          <w:sz w:val="21"/>
          <w:szCs w:val="21"/>
        </w:rPr>
        <w:t xml:space="preserve">“No one no doubts that such an express declaration of trust is conclusive unless varied by subsequent agreement or affected by proprietary estoppel”, Baroness Hale, </w:t>
      </w:r>
      <w:r w:rsidRPr="00C72553">
        <w:rPr>
          <w:rFonts w:eastAsia="Arial Unicode MS"/>
          <w:i/>
          <w:kern w:val="24"/>
          <w:sz w:val="21"/>
          <w:szCs w:val="21"/>
        </w:rPr>
        <w:t xml:space="preserve">Stack, </w:t>
      </w:r>
      <w:r w:rsidRPr="00C72553">
        <w:rPr>
          <w:rFonts w:eastAsia="Arial Unicode MS"/>
          <w:kern w:val="24"/>
          <w:sz w:val="21"/>
          <w:szCs w:val="21"/>
        </w:rPr>
        <w:t>[49]</w:t>
      </w:r>
    </w:p>
    <w:p w:rsidR="00F67CB7" w:rsidRDefault="00F67CB7" w:rsidP="00F67CB7">
      <w:pPr>
        <w:pStyle w:val="ListParagraph"/>
        <w:spacing w:after="0"/>
        <w:jc w:val="both"/>
      </w:pPr>
    </w:p>
    <w:p w:rsidR="00F67CB7" w:rsidRPr="00C72553" w:rsidRDefault="00F67CB7" w:rsidP="00F67CB7">
      <w:pPr>
        <w:pStyle w:val="ListParagraph"/>
        <w:numPr>
          <w:ilvl w:val="0"/>
          <w:numId w:val="1"/>
        </w:numPr>
        <w:spacing w:after="0"/>
        <w:ind w:hanging="720"/>
        <w:jc w:val="both"/>
      </w:pPr>
      <w:r>
        <w:t xml:space="preserve">Such a </w:t>
      </w:r>
      <w:r w:rsidRPr="00C72553">
        <w:t>declaration is</w:t>
      </w:r>
      <w:r w:rsidR="00502236">
        <w:t xml:space="preserve"> normally </w:t>
      </w:r>
      <w:r w:rsidRPr="00C72553">
        <w:rPr>
          <w:u w:val="single"/>
        </w:rPr>
        <w:t>conclusive</w:t>
      </w:r>
      <w:r w:rsidRPr="00C72553">
        <w:t xml:space="preserve"> of the parties interests </w:t>
      </w:r>
      <w:r w:rsidRPr="00C72553">
        <w:rPr>
          <w:rFonts w:eastAsia="Arial Unicode MS"/>
          <w:kern w:val="24"/>
        </w:rPr>
        <w:t xml:space="preserve">unless and until the conveyance is rectified or rescinded on the ground of fraud or mistake: see s 53(1)(b) of the </w:t>
      </w:r>
      <w:r w:rsidRPr="00C72553">
        <w:rPr>
          <w:rFonts w:eastAsia="Arial Unicode MS"/>
          <w:kern w:val="24"/>
          <w:u w:val="single"/>
        </w:rPr>
        <w:t>Law of Property Act 1925</w:t>
      </w:r>
      <w:r w:rsidRPr="00C72553">
        <w:rPr>
          <w:rFonts w:eastAsia="Arial Unicode MS"/>
          <w:kern w:val="24"/>
        </w:rPr>
        <w:t xml:space="preserve">; </w:t>
      </w:r>
      <w:r w:rsidRPr="00C72553">
        <w:rPr>
          <w:rFonts w:eastAsia="Arial Unicode MS"/>
          <w:i/>
          <w:kern w:val="24"/>
        </w:rPr>
        <w:t xml:space="preserve">Goodman v Gallant </w:t>
      </w:r>
      <w:r w:rsidRPr="00C72553">
        <w:rPr>
          <w:rFonts w:eastAsia="Arial Unicode MS"/>
          <w:kern w:val="24"/>
        </w:rPr>
        <w:t>[1986] 1 FLR 515</w:t>
      </w:r>
      <w:r>
        <w:rPr>
          <w:rFonts w:eastAsia="Arial Unicode MS"/>
          <w:kern w:val="24"/>
        </w:rPr>
        <w:t>. Exceptionally, a</w:t>
      </w:r>
      <w:r w:rsidR="00EE7E14">
        <w:rPr>
          <w:rFonts w:eastAsia="Arial Unicode MS"/>
          <w:kern w:val="24"/>
        </w:rPr>
        <w:t>n</w:t>
      </w:r>
      <w:r>
        <w:rPr>
          <w:rFonts w:eastAsia="Arial Unicode MS"/>
          <w:kern w:val="24"/>
        </w:rPr>
        <w:t xml:space="preserve"> express declaration of trust </w:t>
      </w:r>
      <w:r w:rsidR="00502236">
        <w:rPr>
          <w:rFonts w:eastAsia="Arial Unicode MS"/>
          <w:kern w:val="24"/>
        </w:rPr>
        <w:t xml:space="preserve">can be affected by a subsequent proprietary estoppel: see </w:t>
      </w:r>
      <w:r w:rsidR="00502236">
        <w:rPr>
          <w:rFonts w:eastAsia="Arial Unicode MS"/>
          <w:i/>
          <w:kern w:val="24"/>
        </w:rPr>
        <w:t xml:space="preserve">Qayyum v Hameed </w:t>
      </w:r>
      <w:r w:rsidR="00502236">
        <w:t>[2009] 2 FLR 962.</w:t>
      </w:r>
    </w:p>
    <w:p w:rsidR="00C72553" w:rsidRDefault="00C72553" w:rsidP="00C72553">
      <w:pPr>
        <w:jc w:val="both"/>
      </w:pPr>
    </w:p>
    <w:p w:rsidR="00502236" w:rsidRDefault="00502236" w:rsidP="00C72553">
      <w:pPr>
        <w:jc w:val="both"/>
      </w:pPr>
    </w:p>
    <w:p w:rsidR="00C72553" w:rsidRPr="00502236" w:rsidRDefault="00C72553" w:rsidP="00C72553">
      <w:pPr>
        <w:jc w:val="both"/>
        <w:rPr>
          <w:i/>
          <w:u w:val="double"/>
        </w:rPr>
      </w:pPr>
      <w:r w:rsidRPr="00502236">
        <w:rPr>
          <w:i/>
          <w:u w:val="double"/>
        </w:rPr>
        <w:t>Common intention constructive trust</w:t>
      </w:r>
      <w:r w:rsidR="00502236" w:rsidRPr="00502236">
        <w:rPr>
          <w:i/>
          <w:u w:val="double"/>
        </w:rPr>
        <w:t xml:space="preserve"> (‘CICT’)</w:t>
      </w:r>
    </w:p>
    <w:p w:rsidR="00B72840" w:rsidRDefault="00EE7E14" w:rsidP="00B72840">
      <w:pPr>
        <w:pStyle w:val="ListParagraph"/>
        <w:numPr>
          <w:ilvl w:val="0"/>
          <w:numId w:val="1"/>
        </w:numPr>
        <w:ind w:hanging="720"/>
        <w:jc w:val="both"/>
      </w:pPr>
      <w:r>
        <w:t>Most cohabitee cases w</w:t>
      </w:r>
      <w:r w:rsidR="00C72553">
        <w:t xml:space="preserve">on’t involve a signed declaration of trust, either because only one party owns the property, or because the property is jointly owned but without </w:t>
      </w:r>
      <w:r w:rsidR="00C72553">
        <w:lastRenderedPageBreak/>
        <w:t xml:space="preserve">such </w:t>
      </w:r>
      <w:r w:rsidR="00B72840">
        <w:t xml:space="preserve">a declaration. Most disputes involve consideration of whether the legal owner holds the property subject to a constructive trust in the claimant’s favour. </w:t>
      </w:r>
    </w:p>
    <w:p w:rsidR="00B72840" w:rsidRDefault="00B72840" w:rsidP="00B72840">
      <w:pPr>
        <w:pStyle w:val="ListParagraph"/>
        <w:jc w:val="both"/>
      </w:pPr>
    </w:p>
    <w:p w:rsidR="00B72840" w:rsidRPr="00B72840" w:rsidRDefault="00B72840" w:rsidP="00B72840">
      <w:pPr>
        <w:pStyle w:val="ListParagraph"/>
        <w:numPr>
          <w:ilvl w:val="0"/>
          <w:numId w:val="1"/>
        </w:numPr>
        <w:ind w:hanging="720"/>
        <w:jc w:val="both"/>
      </w:pPr>
      <w:r w:rsidRPr="00B72840">
        <w:rPr>
          <w:rFonts w:eastAsia="Arial Unicode MS"/>
          <w:kern w:val="24"/>
        </w:rPr>
        <w:t>The basic components of a constructive trust are:</w:t>
      </w:r>
    </w:p>
    <w:p w:rsidR="00B72840" w:rsidRDefault="00B72840" w:rsidP="00B72840">
      <w:pPr>
        <w:pStyle w:val="ListParagraph"/>
        <w:numPr>
          <w:ilvl w:val="0"/>
          <w:numId w:val="7"/>
        </w:numPr>
        <w:tabs>
          <w:tab w:val="clear" w:pos="1800"/>
          <w:tab w:val="num" w:pos="2127"/>
        </w:tabs>
        <w:spacing w:after="0"/>
        <w:jc w:val="both"/>
        <w:rPr>
          <w:rFonts w:eastAsia="Arial Unicode MS"/>
          <w:kern w:val="24"/>
        </w:rPr>
      </w:pPr>
      <w:r w:rsidRPr="00B72840">
        <w:rPr>
          <w:rFonts w:eastAsia="Arial Unicode MS"/>
          <w:kern w:val="24"/>
        </w:rPr>
        <w:t>A common or shared intention between the parties that the claimant should have an interest in the property, which can be express (i.e. discussed between the parties) or implied by contributions (direct or – more</w:t>
      </w:r>
      <w:r w:rsidR="00EE7E14">
        <w:rPr>
          <w:rFonts w:eastAsia="Arial Unicode MS"/>
          <w:kern w:val="24"/>
        </w:rPr>
        <w:t xml:space="preserve"> controversially, indirect): see</w:t>
      </w:r>
      <w:r w:rsidRPr="00B72840">
        <w:rPr>
          <w:rFonts w:eastAsia="Arial Unicode MS"/>
          <w:kern w:val="24"/>
        </w:rPr>
        <w:t xml:space="preserve"> </w:t>
      </w:r>
      <w:r w:rsidRPr="00B72840">
        <w:rPr>
          <w:rFonts w:eastAsia="Arial Unicode MS"/>
          <w:i/>
          <w:kern w:val="24"/>
        </w:rPr>
        <w:t xml:space="preserve">Lloyds Bank v Rosset </w:t>
      </w:r>
      <w:r w:rsidRPr="00B72840">
        <w:rPr>
          <w:rFonts w:eastAsia="Arial Unicode MS"/>
          <w:kern w:val="24"/>
        </w:rPr>
        <w:t>[1991] 1AC 107.</w:t>
      </w:r>
    </w:p>
    <w:p w:rsidR="008761E9" w:rsidRDefault="008761E9" w:rsidP="008761E9">
      <w:pPr>
        <w:pStyle w:val="ListParagraph"/>
        <w:spacing w:after="0"/>
        <w:ind w:left="2120"/>
        <w:jc w:val="both"/>
        <w:rPr>
          <w:rFonts w:eastAsia="Arial Unicode MS"/>
          <w:kern w:val="24"/>
        </w:rPr>
      </w:pPr>
    </w:p>
    <w:p w:rsidR="00B72840" w:rsidRDefault="00B72840" w:rsidP="00B72840">
      <w:pPr>
        <w:pStyle w:val="ListParagraph"/>
        <w:numPr>
          <w:ilvl w:val="0"/>
          <w:numId w:val="7"/>
        </w:numPr>
        <w:tabs>
          <w:tab w:val="clear" w:pos="1800"/>
          <w:tab w:val="num" w:pos="2127"/>
        </w:tabs>
        <w:spacing w:after="0"/>
        <w:jc w:val="both"/>
        <w:rPr>
          <w:rFonts w:eastAsia="Arial Unicode MS"/>
          <w:kern w:val="24"/>
        </w:rPr>
      </w:pPr>
      <w:r w:rsidRPr="00B72840">
        <w:rPr>
          <w:rFonts w:eastAsia="Arial Unicode MS"/>
          <w:kern w:val="24"/>
        </w:rPr>
        <w:t xml:space="preserve">Substantial detriment undertaken </w:t>
      </w:r>
      <w:r w:rsidR="00EE7E14">
        <w:rPr>
          <w:rFonts w:eastAsia="Arial Unicode MS"/>
          <w:kern w:val="24"/>
        </w:rPr>
        <w:t xml:space="preserve">by the claimant </w:t>
      </w:r>
      <w:r w:rsidRPr="00B72840">
        <w:rPr>
          <w:rFonts w:eastAsia="Arial Unicode MS"/>
          <w:kern w:val="24"/>
        </w:rPr>
        <w:t xml:space="preserve">in reliance of this common intention. </w:t>
      </w:r>
    </w:p>
    <w:p w:rsidR="008761E9" w:rsidRDefault="008761E9" w:rsidP="008761E9">
      <w:pPr>
        <w:pStyle w:val="ListParagraph"/>
        <w:spacing w:after="0"/>
        <w:ind w:left="2120"/>
        <w:jc w:val="both"/>
        <w:rPr>
          <w:rFonts w:eastAsia="Arial Unicode MS"/>
          <w:kern w:val="24"/>
        </w:rPr>
      </w:pPr>
    </w:p>
    <w:p w:rsidR="00B72840" w:rsidRPr="00B72840" w:rsidRDefault="00EE7E14" w:rsidP="00B72840">
      <w:pPr>
        <w:pStyle w:val="ListParagraph"/>
        <w:numPr>
          <w:ilvl w:val="0"/>
          <w:numId w:val="7"/>
        </w:numPr>
        <w:tabs>
          <w:tab w:val="clear" w:pos="1800"/>
          <w:tab w:val="num" w:pos="2127"/>
        </w:tabs>
        <w:spacing w:after="0"/>
        <w:jc w:val="both"/>
        <w:rPr>
          <w:rFonts w:eastAsia="Arial Unicode MS"/>
          <w:kern w:val="24"/>
        </w:rPr>
      </w:pPr>
      <w:r>
        <w:rPr>
          <w:rFonts w:eastAsia="Arial Unicode MS"/>
          <w:kern w:val="24"/>
        </w:rPr>
        <w:t>Some observers consider that a necessary component is that it there should be unconscionable for the owner to deny</w:t>
      </w:r>
      <w:r w:rsidR="00B72840" w:rsidRPr="00B72840">
        <w:rPr>
          <w:rFonts w:eastAsia="Arial Unicode MS"/>
          <w:kern w:val="24"/>
        </w:rPr>
        <w:t xml:space="preserve"> the claimant’s rights.</w:t>
      </w:r>
    </w:p>
    <w:p w:rsidR="00B72840" w:rsidRDefault="00B72840" w:rsidP="00B72840">
      <w:pPr>
        <w:pStyle w:val="ListParagraph"/>
        <w:jc w:val="both"/>
      </w:pPr>
    </w:p>
    <w:p w:rsidR="00B72840" w:rsidRPr="00B72840" w:rsidRDefault="00C72553" w:rsidP="00B72840">
      <w:pPr>
        <w:pStyle w:val="ListParagraph"/>
        <w:numPr>
          <w:ilvl w:val="0"/>
          <w:numId w:val="1"/>
        </w:numPr>
        <w:ind w:hanging="720"/>
        <w:jc w:val="both"/>
      </w:pPr>
      <w:r>
        <w:t xml:space="preserve">The leading case is </w:t>
      </w:r>
      <w:r w:rsidRPr="00DB68C7">
        <w:rPr>
          <w:rFonts w:eastAsia="Arial Unicode MS"/>
          <w:i/>
          <w:kern w:val="24"/>
        </w:rPr>
        <w:t xml:space="preserve">Stack v Dowden </w:t>
      </w:r>
      <w:r w:rsidRPr="00DB68C7">
        <w:rPr>
          <w:rFonts w:eastAsia="Arial Unicode MS"/>
          <w:kern w:val="24"/>
        </w:rPr>
        <w:t>[2007] 2 AC 432</w:t>
      </w:r>
      <w:r w:rsidR="00647B40">
        <w:rPr>
          <w:rFonts w:eastAsia="Arial Unicode MS"/>
          <w:kern w:val="24"/>
        </w:rPr>
        <w:t xml:space="preserve"> (a case involving a 27 year relationship, during which four children were born</w:t>
      </w:r>
      <w:r w:rsidRPr="00DB68C7">
        <w:rPr>
          <w:rFonts w:eastAsia="Arial Unicode MS"/>
          <w:kern w:val="24"/>
        </w:rPr>
        <w:t>,</w:t>
      </w:r>
      <w:r>
        <w:rPr>
          <w:rFonts w:eastAsia="Arial Unicode MS"/>
          <w:kern w:val="24"/>
        </w:rPr>
        <w:t xml:space="preserve"> </w:t>
      </w:r>
      <w:r w:rsidR="00647B40">
        <w:rPr>
          <w:rFonts w:eastAsia="Arial Unicode MS"/>
          <w:kern w:val="24"/>
        </w:rPr>
        <w:t xml:space="preserve">and an issue as to the parties shares in the jointly owned property – into which the woman (D) </w:t>
      </w:r>
      <w:r w:rsidR="00B1096F">
        <w:rPr>
          <w:rFonts w:eastAsia="Arial Unicode MS"/>
          <w:kern w:val="24"/>
        </w:rPr>
        <w:t xml:space="preserve">made the greater financial contribution), See </w:t>
      </w:r>
      <w:r>
        <w:rPr>
          <w:rFonts w:eastAsia="Arial Unicode MS"/>
          <w:kern w:val="24"/>
        </w:rPr>
        <w:t>the majority opinion of Baroness Hale</w:t>
      </w:r>
      <w:r w:rsidR="00B72840">
        <w:rPr>
          <w:rFonts w:eastAsia="Arial Unicode MS"/>
          <w:kern w:val="24"/>
        </w:rPr>
        <w:t xml:space="preserve"> which provides as follows:</w:t>
      </w:r>
    </w:p>
    <w:p w:rsidR="00F119C6" w:rsidRDefault="00C72553" w:rsidP="00C72553">
      <w:pPr>
        <w:pStyle w:val="ListParagraph"/>
        <w:numPr>
          <w:ilvl w:val="0"/>
          <w:numId w:val="6"/>
        </w:numPr>
        <w:spacing w:after="0"/>
        <w:contextualSpacing w:val="0"/>
        <w:jc w:val="both"/>
        <w:rPr>
          <w:rFonts w:eastAsia="Arial Unicode MS"/>
          <w:kern w:val="24"/>
        </w:rPr>
      </w:pPr>
      <w:r w:rsidRPr="00DB68C7">
        <w:rPr>
          <w:rFonts w:eastAsia="Arial Unicode MS"/>
          <w:kern w:val="24"/>
        </w:rPr>
        <w:t xml:space="preserve">Where a property is owned </w:t>
      </w:r>
      <w:r w:rsidRPr="00DB68C7">
        <w:rPr>
          <w:rFonts w:eastAsia="Arial Unicode MS"/>
          <w:i/>
          <w:kern w:val="24"/>
        </w:rPr>
        <w:t>without</w:t>
      </w:r>
      <w:r w:rsidRPr="00DB68C7">
        <w:rPr>
          <w:rFonts w:eastAsia="Arial Unicode MS"/>
          <w:kern w:val="24"/>
        </w:rPr>
        <w:t xml:space="preserve"> an express declaration of trust (e.g. the property in </w:t>
      </w:r>
      <w:r w:rsidRPr="00DB68C7">
        <w:rPr>
          <w:rFonts w:eastAsia="Arial Unicode MS"/>
          <w:i/>
          <w:kern w:val="24"/>
        </w:rPr>
        <w:t>Stack</w:t>
      </w:r>
      <w:r w:rsidRPr="00DB68C7">
        <w:rPr>
          <w:rFonts w:eastAsia="Arial Unicode MS"/>
          <w:kern w:val="24"/>
        </w:rPr>
        <w:t xml:space="preserve">), the </w:t>
      </w:r>
      <w:r w:rsidRPr="00EE7E14">
        <w:rPr>
          <w:rFonts w:eastAsia="Arial Unicode MS"/>
          <w:kern w:val="24"/>
          <w:u w:val="single"/>
        </w:rPr>
        <w:t>starting point</w:t>
      </w:r>
      <w:r w:rsidRPr="00DB68C7">
        <w:rPr>
          <w:rFonts w:eastAsia="Arial Unicode MS"/>
          <w:kern w:val="24"/>
        </w:rPr>
        <w:t xml:space="preserve"> is that beneficial ownership will follow legal ownership (</w:t>
      </w:r>
      <w:r w:rsidRPr="00DB68C7">
        <w:rPr>
          <w:rFonts w:eastAsia="Arial Unicode MS"/>
          <w:i/>
          <w:kern w:val="24"/>
        </w:rPr>
        <w:t>‘equity follows the law’</w:t>
      </w:r>
      <w:r w:rsidRPr="00DB68C7">
        <w:rPr>
          <w:rFonts w:eastAsia="Arial Unicode MS"/>
          <w:kern w:val="24"/>
        </w:rPr>
        <w:t xml:space="preserve">), i.e. </w:t>
      </w:r>
    </w:p>
    <w:p w:rsidR="00F119C6" w:rsidRPr="00F119C6" w:rsidRDefault="00F119C6" w:rsidP="00F119C6">
      <w:pPr>
        <w:pStyle w:val="ListParagraph"/>
        <w:numPr>
          <w:ilvl w:val="0"/>
          <w:numId w:val="18"/>
        </w:numPr>
        <w:spacing w:after="0"/>
        <w:contextualSpacing w:val="0"/>
        <w:jc w:val="both"/>
        <w:rPr>
          <w:rFonts w:eastAsia="Arial Unicode MS" w:cs="Times New Roman"/>
          <w:kern w:val="24"/>
        </w:rPr>
      </w:pPr>
      <w:r>
        <w:rPr>
          <w:rFonts w:eastAsia="Arial Unicode MS"/>
          <w:kern w:val="24"/>
        </w:rPr>
        <w:t xml:space="preserve">Where the property was solely owned, the presumption was that he </w:t>
      </w:r>
      <w:r w:rsidRPr="00F119C6">
        <w:rPr>
          <w:rFonts w:eastAsia="Arial Unicode MS" w:cs="Times New Roman"/>
          <w:kern w:val="24"/>
        </w:rPr>
        <w:t>was intended to be the sole beneficial owner</w:t>
      </w:r>
      <w:r w:rsidR="00C72553" w:rsidRPr="00F119C6">
        <w:rPr>
          <w:rFonts w:eastAsia="Arial Unicode MS" w:cs="Times New Roman"/>
          <w:kern w:val="24"/>
        </w:rPr>
        <w:t xml:space="preserve"> (</w:t>
      </w:r>
      <w:r w:rsidR="00C72553" w:rsidRPr="00F119C6">
        <w:rPr>
          <w:rFonts w:eastAsia="Arial Unicode MS" w:cs="Times New Roman"/>
          <w:i/>
          <w:kern w:val="24"/>
        </w:rPr>
        <w:t>Stack</w:t>
      </w:r>
      <w:r w:rsidR="00C72553" w:rsidRPr="00F119C6">
        <w:rPr>
          <w:rFonts w:eastAsia="Arial Unicode MS" w:cs="Times New Roman"/>
          <w:kern w:val="24"/>
        </w:rPr>
        <w:t>, [55]);</w:t>
      </w:r>
    </w:p>
    <w:p w:rsidR="00C72553" w:rsidRPr="00F119C6" w:rsidRDefault="00F119C6" w:rsidP="00F119C6">
      <w:pPr>
        <w:pStyle w:val="ListParagraph"/>
        <w:numPr>
          <w:ilvl w:val="0"/>
          <w:numId w:val="18"/>
        </w:numPr>
        <w:spacing w:after="0"/>
        <w:contextualSpacing w:val="0"/>
        <w:jc w:val="both"/>
        <w:rPr>
          <w:rFonts w:eastAsia="Arial Unicode MS" w:cs="Times New Roman"/>
          <w:kern w:val="24"/>
        </w:rPr>
      </w:pPr>
      <w:r w:rsidRPr="00F119C6">
        <w:rPr>
          <w:rFonts w:eastAsia="Arial Unicode MS" w:cs="Times New Roman"/>
          <w:kern w:val="24"/>
        </w:rPr>
        <w:t xml:space="preserve">Where the </w:t>
      </w:r>
      <w:r w:rsidRPr="00F119C6">
        <w:rPr>
          <w:rFonts w:cs="Times New Roman"/>
          <w:color w:val="000000"/>
        </w:rPr>
        <w:t>property was put into joint names, it was presumed that the parties intended that each should have not only a legal but also a beneficial interest, and that those interests should be equal</w:t>
      </w:r>
    </w:p>
    <w:p w:rsidR="00C72553" w:rsidRPr="00AC1DD6" w:rsidRDefault="00C72553" w:rsidP="00AC1DD6">
      <w:pPr>
        <w:pStyle w:val="ListParagraph"/>
        <w:numPr>
          <w:ilvl w:val="0"/>
          <w:numId w:val="18"/>
        </w:numPr>
        <w:spacing w:after="0"/>
        <w:contextualSpacing w:val="0"/>
        <w:jc w:val="both"/>
        <w:rPr>
          <w:rFonts w:eastAsia="Arial Unicode MS"/>
          <w:kern w:val="24"/>
        </w:rPr>
      </w:pPr>
      <w:r w:rsidRPr="00DB68C7">
        <w:rPr>
          <w:rFonts w:eastAsia="Arial Unicode MS"/>
          <w:kern w:val="24"/>
        </w:rPr>
        <w:t xml:space="preserve">This presumption applies in </w:t>
      </w:r>
      <w:r w:rsidRPr="00AC1DD6">
        <w:rPr>
          <w:rFonts w:eastAsia="Arial Unicode MS"/>
          <w:i/>
          <w:kern w:val="24"/>
        </w:rPr>
        <w:t>‘…the domestic consumer context’</w:t>
      </w:r>
      <w:r w:rsidRPr="00AC1DD6">
        <w:rPr>
          <w:rFonts w:eastAsia="Arial Unicode MS"/>
          <w:kern w:val="24"/>
        </w:rPr>
        <w:t xml:space="preserve"> [59])</w:t>
      </w:r>
      <w:r w:rsidR="00AC1DD6">
        <w:rPr>
          <w:rFonts w:eastAsia="Arial Unicode MS"/>
          <w:kern w:val="24"/>
        </w:rPr>
        <w:t xml:space="preserve"> </w:t>
      </w:r>
      <w:r w:rsidRPr="00AC1DD6">
        <w:rPr>
          <w:rFonts w:eastAsia="Arial Unicode MS"/>
          <w:kern w:val="24"/>
        </w:rPr>
        <w:t xml:space="preserve">– </w:t>
      </w:r>
      <w:r w:rsidR="00AC1DD6">
        <w:rPr>
          <w:rFonts w:eastAsia="Arial Unicode MS"/>
          <w:kern w:val="24"/>
        </w:rPr>
        <w:t xml:space="preserve">i.e. not only between cohabiting couples, family members </w:t>
      </w:r>
      <w:r w:rsidR="00AC1DD6" w:rsidRPr="00AC1DD6">
        <w:rPr>
          <w:rFonts w:eastAsia="Arial Unicode MS" w:cs="Times New Roman"/>
          <w:kern w:val="24"/>
        </w:rPr>
        <w:t>(</w:t>
      </w:r>
      <w:r w:rsidR="00AC1DD6" w:rsidRPr="00AC1DD6">
        <w:rPr>
          <w:rStyle w:val="italic1"/>
          <w:rFonts w:cs="Times New Roman"/>
          <w:color w:val="000000"/>
        </w:rPr>
        <w:t>Adekunle v Ritchie</w:t>
      </w:r>
      <w:r w:rsidR="00AC1DD6" w:rsidRPr="00AC1DD6">
        <w:rPr>
          <w:rFonts w:cs="Times New Roman"/>
          <w:color w:val="000000"/>
        </w:rPr>
        <w:t xml:space="preserve"> [2007] WTLR 1505)</w:t>
      </w:r>
      <w:r w:rsidR="00AC1DD6">
        <w:rPr>
          <w:rFonts w:cs="Times New Roman"/>
          <w:color w:val="000000"/>
        </w:rPr>
        <w:t xml:space="preserve"> </w:t>
      </w:r>
      <w:r w:rsidR="00AC1DD6">
        <w:rPr>
          <w:rFonts w:cs="Times New Roman"/>
          <w:color w:val="000000"/>
        </w:rPr>
        <w:lastRenderedPageBreak/>
        <w:t xml:space="preserve">etc. </w:t>
      </w:r>
      <w:r w:rsidRPr="00AC1DD6">
        <w:rPr>
          <w:rFonts w:eastAsia="Arial Unicode MS"/>
          <w:kern w:val="24"/>
        </w:rPr>
        <w:t xml:space="preserve">but </w:t>
      </w:r>
      <w:r w:rsidRPr="00AC1DD6">
        <w:rPr>
          <w:rFonts w:eastAsia="Arial Unicode MS"/>
          <w:kern w:val="24"/>
          <w:u w:val="single"/>
        </w:rPr>
        <w:t>not</w:t>
      </w:r>
      <w:r w:rsidRPr="00AC1DD6">
        <w:rPr>
          <w:rFonts w:eastAsia="Arial Unicode MS"/>
          <w:kern w:val="24"/>
        </w:rPr>
        <w:t xml:space="preserve"> in commercial property disputes (to which the traditional resulting trust approach is applicable), or in cases concerning other property such as shares in a yacht. As to a hybrid scenario (e.g. cohabitees who invest in buy-to-let properties, see </w:t>
      </w:r>
      <w:r w:rsidRPr="00AC1DD6">
        <w:rPr>
          <w:rFonts w:eastAsia="Arial Unicode MS"/>
          <w:i/>
          <w:kern w:val="24"/>
        </w:rPr>
        <w:t>Laskar v Laskar</w:t>
      </w:r>
      <w:r w:rsidRPr="00AC1DD6">
        <w:rPr>
          <w:rFonts w:eastAsia="Arial Unicode MS"/>
          <w:kern w:val="24"/>
        </w:rPr>
        <w:t xml:space="preserve"> (below);</w:t>
      </w:r>
    </w:p>
    <w:p w:rsidR="00C72553" w:rsidRPr="00DB68C7" w:rsidRDefault="00C72553" w:rsidP="00C72553">
      <w:pPr>
        <w:pStyle w:val="ListParagraph"/>
        <w:rPr>
          <w:rFonts w:eastAsia="Arial Unicode MS"/>
          <w:kern w:val="24"/>
        </w:rPr>
      </w:pPr>
    </w:p>
    <w:p w:rsidR="00C72553" w:rsidRPr="00C95EAA" w:rsidRDefault="00C72553" w:rsidP="00C95EAA">
      <w:pPr>
        <w:pStyle w:val="ListParagraph"/>
        <w:numPr>
          <w:ilvl w:val="0"/>
          <w:numId w:val="6"/>
        </w:numPr>
        <w:spacing w:after="0"/>
        <w:jc w:val="both"/>
        <w:rPr>
          <w:rFonts w:eastAsia="Arial Unicode MS"/>
          <w:kern w:val="24"/>
        </w:rPr>
      </w:pPr>
      <w:r w:rsidRPr="00C95EAA">
        <w:rPr>
          <w:rFonts w:eastAsia="Arial Unicode MS"/>
          <w:kern w:val="24"/>
        </w:rPr>
        <w:t>The burden of proof lies with the party who challenges the presumption. In cases of jointly owned property, thi</w:t>
      </w:r>
      <w:r w:rsidR="0024650A" w:rsidRPr="00C95EAA">
        <w:rPr>
          <w:rFonts w:eastAsia="Arial Unicode MS"/>
          <w:kern w:val="24"/>
        </w:rPr>
        <w:t xml:space="preserve">s will be a </w:t>
      </w:r>
      <w:r w:rsidR="0024650A" w:rsidRPr="00C95EAA">
        <w:rPr>
          <w:rFonts w:eastAsia="Arial Unicode MS"/>
          <w:kern w:val="24"/>
          <w:u w:val="single"/>
        </w:rPr>
        <w:t>‘heavy burden’</w:t>
      </w:r>
      <w:r w:rsidR="0024650A" w:rsidRPr="00EE7E14">
        <w:rPr>
          <w:rFonts w:eastAsia="Arial Unicode MS"/>
          <w:kern w:val="24"/>
        </w:rPr>
        <w:t xml:space="preserve"> </w:t>
      </w:r>
      <w:r w:rsidR="0024650A" w:rsidRPr="00C95EAA">
        <w:rPr>
          <w:rFonts w:eastAsia="Arial Unicode MS"/>
          <w:kern w:val="24"/>
        </w:rPr>
        <w:t>[</w:t>
      </w:r>
      <w:r w:rsidR="00EE7E14" w:rsidRPr="00EE7E14">
        <w:rPr>
          <w:rFonts w:eastAsia="Arial Unicode MS"/>
          <w:i/>
          <w:kern w:val="24"/>
        </w:rPr>
        <w:t>Stack</w:t>
      </w:r>
      <w:r w:rsidR="00EE7E14">
        <w:rPr>
          <w:rFonts w:eastAsia="Arial Unicode MS"/>
          <w:kern w:val="24"/>
        </w:rPr>
        <w:t xml:space="preserve">, </w:t>
      </w:r>
      <w:r w:rsidR="0024650A" w:rsidRPr="00C95EAA">
        <w:rPr>
          <w:rFonts w:eastAsia="Arial Unicode MS"/>
          <w:kern w:val="24"/>
        </w:rPr>
        <w:t xml:space="preserve">33]. This is an important point to consider – </w:t>
      </w:r>
      <w:r w:rsidR="0024650A" w:rsidRPr="00C95EAA">
        <w:rPr>
          <w:rFonts w:eastAsia="Arial Unicode MS"/>
          <w:i/>
          <w:kern w:val="24"/>
        </w:rPr>
        <w:t xml:space="preserve">Stack </w:t>
      </w:r>
      <w:r w:rsidR="0024650A" w:rsidRPr="00C95EAA">
        <w:rPr>
          <w:rFonts w:eastAsia="Arial Unicode MS"/>
          <w:kern w:val="24"/>
        </w:rPr>
        <w:t xml:space="preserve"> was an exceptional case where the court declared the co-owners were not entitled to equal beneficial shares;</w:t>
      </w:r>
    </w:p>
    <w:p w:rsidR="00C72553" w:rsidRPr="00DB68C7" w:rsidRDefault="00C72553" w:rsidP="00C72553">
      <w:pPr>
        <w:pStyle w:val="ListParagraph"/>
        <w:rPr>
          <w:rFonts w:eastAsia="Arial Unicode MS"/>
          <w:kern w:val="24"/>
        </w:rPr>
      </w:pPr>
    </w:p>
    <w:p w:rsidR="00C72553" w:rsidRPr="00DB68C7" w:rsidRDefault="00C72553" w:rsidP="00C95EAA">
      <w:pPr>
        <w:pStyle w:val="ListParagraph"/>
        <w:numPr>
          <w:ilvl w:val="0"/>
          <w:numId w:val="6"/>
        </w:numPr>
        <w:spacing w:after="0"/>
        <w:contextualSpacing w:val="0"/>
        <w:jc w:val="both"/>
        <w:rPr>
          <w:rFonts w:eastAsia="Arial Unicode MS"/>
          <w:kern w:val="24"/>
        </w:rPr>
      </w:pPr>
      <w:r w:rsidRPr="00DB68C7">
        <w:rPr>
          <w:rFonts w:eastAsia="Arial Unicode MS"/>
          <w:kern w:val="24"/>
        </w:rPr>
        <w:t xml:space="preserve">The more appropriate tool to resolve disputes between cohabitees will generally be according to their shared or </w:t>
      </w:r>
      <w:r w:rsidRPr="00B72840">
        <w:rPr>
          <w:rFonts w:eastAsia="Arial Unicode MS"/>
          <w:kern w:val="24"/>
          <w:u w:val="single"/>
        </w:rPr>
        <w:t>common intention</w:t>
      </w:r>
      <w:r w:rsidRPr="00EE7E14">
        <w:rPr>
          <w:rFonts w:eastAsia="Arial Unicode MS"/>
          <w:kern w:val="24"/>
          <w:u w:val="single"/>
        </w:rPr>
        <w:t>s</w:t>
      </w:r>
      <w:r w:rsidRPr="00DB68C7">
        <w:rPr>
          <w:rFonts w:eastAsia="Arial Unicode MS"/>
          <w:kern w:val="24"/>
        </w:rPr>
        <w:t xml:space="preserve"> (constructive trust), as opposed to their financial contributions: in considering common intention, the court should take a wide survey of the background: ‘context is everything’ [69].</w:t>
      </w:r>
    </w:p>
    <w:p w:rsidR="004E451D" w:rsidRPr="004E451D" w:rsidRDefault="004E451D" w:rsidP="004E451D">
      <w:pPr>
        <w:pStyle w:val="ListParagraph"/>
        <w:rPr>
          <w:rFonts w:eastAsia="Arial Unicode MS"/>
          <w:kern w:val="24"/>
        </w:rPr>
      </w:pPr>
    </w:p>
    <w:p w:rsidR="008761E9" w:rsidRPr="00C95EAA" w:rsidRDefault="004E451D" w:rsidP="00C95EAA">
      <w:pPr>
        <w:pStyle w:val="ListParagraph"/>
        <w:numPr>
          <w:ilvl w:val="0"/>
          <w:numId w:val="6"/>
        </w:numPr>
        <w:spacing w:after="0"/>
        <w:contextualSpacing w:val="0"/>
        <w:jc w:val="both"/>
        <w:rPr>
          <w:rFonts w:eastAsia="Arial Unicode MS"/>
          <w:kern w:val="24"/>
        </w:rPr>
      </w:pPr>
      <w:r>
        <w:rPr>
          <w:rFonts w:cs="Times New Roman"/>
          <w:color w:val="000000"/>
        </w:rPr>
        <w:t>W</w:t>
      </w:r>
      <w:r w:rsidRPr="004E451D">
        <w:rPr>
          <w:rFonts w:cs="Times New Roman"/>
          <w:color w:val="000000"/>
        </w:rPr>
        <w:t>here the presumption was displaced, assuming that there was no express agreement as to the respective amounts of the parties' interests, the court would quantify them by reference to the whole course of dealing between the parties and taking into account all conduct which threw light on the question of what shares were intended.</w:t>
      </w:r>
      <w:r>
        <w:rPr>
          <w:rFonts w:cs="Times New Roman"/>
          <w:color w:val="000000"/>
        </w:rPr>
        <w:t xml:space="preserve"> </w:t>
      </w:r>
      <w:r w:rsidR="00F119C6">
        <w:rPr>
          <w:rFonts w:eastAsia="Arial Unicode MS"/>
          <w:kern w:val="24"/>
        </w:rPr>
        <w:t>These intentions might change – i.e. creating an ‘ambulatory’ trust.</w:t>
      </w:r>
      <w:r w:rsidR="00C95EAA">
        <w:rPr>
          <w:rFonts w:eastAsia="Arial Unicode MS"/>
          <w:kern w:val="24"/>
        </w:rPr>
        <w:t xml:space="preserve"> (T</w:t>
      </w:r>
      <w:r w:rsidRPr="00C95EAA">
        <w:rPr>
          <w:rFonts w:eastAsia="Arial Unicode MS"/>
          <w:kern w:val="24"/>
        </w:rPr>
        <w:t xml:space="preserve">here is no </w:t>
      </w:r>
      <w:r w:rsidR="00F119C6" w:rsidRPr="00C95EAA">
        <w:rPr>
          <w:rFonts w:eastAsia="Arial Unicode MS"/>
          <w:kern w:val="24"/>
        </w:rPr>
        <w:t xml:space="preserve">basis in law for the court to impose its own view of what is ‘fair’ (HL implicitly disapproved of CA decision in </w:t>
      </w:r>
      <w:r w:rsidRPr="00C95EAA">
        <w:rPr>
          <w:rFonts w:eastAsia="Arial Unicode MS"/>
          <w:i/>
          <w:kern w:val="24"/>
        </w:rPr>
        <w:t>Oxley v Hiscock</w:t>
      </w:r>
      <w:r w:rsidRPr="00C95EAA">
        <w:rPr>
          <w:rFonts w:eastAsia="Arial Unicode MS"/>
          <w:kern w:val="24"/>
        </w:rPr>
        <w:t xml:space="preserve"> [2004] 2 FLR 669</w:t>
      </w:r>
      <w:r w:rsidR="00F119C6" w:rsidRPr="00C95EAA">
        <w:rPr>
          <w:rFonts w:eastAsia="Arial Unicode MS"/>
          <w:kern w:val="24"/>
        </w:rPr>
        <w:t xml:space="preserve">: also see </w:t>
      </w:r>
      <w:r w:rsidR="00F119C6" w:rsidRPr="00C95EAA">
        <w:rPr>
          <w:rFonts w:eastAsia="Arial Unicode MS"/>
          <w:i/>
          <w:kern w:val="24"/>
        </w:rPr>
        <w:t>Jones v Kernott</w:t>
      </w:r>
      <w:r w:rsidR="00F119C6" w:rsidRPr="00C95EAA">
        <w:rPr>
          <w:rFonts w:eastAsia="Arial Unicode MS"/>
          <w:kern w:val="24"/>
        </w:rPr>
        <w:t xml:space="preserve"> [2009] EWHC 1713 (Ch)</w:t>
      </w:r>
      <w:r w:rsidRPr="00C95EAA">
        <w:rPr>
          <w:rFonts w:eastAsia="Arial Unicode MS"/>
          <w:kern w:val="24"/>
        </w:rPr>
        <w:t>.</w:t>
      </w:r>
    </w:p>
    <w:p w:rsidR="00F119C6" w:rsidRDefault="00F119C6" w:rsidP="008761E9">
      <w:pPr>
        <w:jc w:val="both"/>
        <w:rPr>
          <w:i/>
          <w:u w:val="single"/>
        </w:rPr>
      </w:pPr>
    </w:p>
    <w:p w:rsidR="00F119C6" w:rsidRDefault="00F119C6" w:rsidP="008761E9">
      <w:pPr>
        <w:jc w:val="both"/>
        <w:rPr>
          <w:i/>
          <w:u w:val="single"/>
        </w:rPr>
      </w:pPr>
    </w:p>
    <w:p w:rsidR="008761E9" w:rsidRPr="00502236" w:rsidRDefault="008761E9" w:rsidP="008761E9">
      <w:pPr>
        <w:jc w:val="both"/>
        <w:rPr>
          <w:i/>
          <w:u w:val="single"/>
        </w:rPr>
      </w:pPr>
      <w:r w:rsidRPr="00502236">
        <w:rPr>
          <w:i/>
          <w:u w:val="single"/>
        </w:rPr>
        <w:t>How do you prove a claimant has an interest in a property using the CICT?</w:t>
      </w:r>
    </w:p>
    <w:p w:rsidR="004B5C80" w:rsidRPr="00E750EA" w:rsidRDefault="008761E9" w:rsidP="004B5C80">
      <w:pPr>
        <w:pStyle w:val="ListParagraph"/>
        <w:numPr>
          <w:ilvl w:val="0"/>
          <w:numId w:val="1"/>
        </w:numPr>
        <w:ind w:hanging="720"/>
        <w:jc w:val="both"/>
      </w:pPr>
      <w:r>
        <w:lastRenderedPageBreak/>
        <w:t>First</w:t>
      </w:r>
      <w:r w:rsidR="00E750EA">
        <w:t>ly;</w:t>
      </w:r>
      <w:r>
        <w:t xml:space="preserve"> are you asserting that the common intention is </w:t>
      </w:r>
      <w:r w:rsidR="00E750EA">
        <w:rPr>
          <w:u w:val="single"/>
        </w:rPr>
        <w:t>express</w:t>
      </w:r>
      <w:r w:rsidR="00E750EA" w:rsidRPr="00E750EA">
        <w:t xml:space="preserve"> </w:t>
      </w:r>
      <w:r>
        <w:t xml:space="preserve">(discussed) or </w:t>
      </w:r>
      <w:r w:rsidR="00E750EA">
        <w:t xml:space="preserve">implied </w:t>
      </w:r>
      <w:r>
        <w:t>(</w:t>
      </w:r>
      <w:r w:rsidR="00E750EA">
        <w:t xml:space="preserve">i.e. </w:t>
      </w:r>
      <w:r>
        <w:t>implied by contributions).</w:t>
      </w:r>
      <w:r w:rsidR="004B5C80">
        <w:t xml:space="preserve"> See Lord Bridge’s famous statement in </w:t>
      </w:r>
      <w:r w:rsidR="004B5C80" w:rsidRPr="00E750EA">
        <w:rPr>
          <w:rFonts w:eastAsia="Arial Unicode MS"/>
          <w:i/>
          <w:kern w:val="24"/>
        </w:rPr>
        <w:t xml:space="preserve">Lloyds Bank v Rosset </w:t>
      </w:r>
      <w:r w:rsidR="004B5C80" w:rsidRPr="00E750EA">
        <w:rPr>
          <w:rFonts w:eastAsia="Arial Unicode MS"/>
          <w:kern w:val="24"/>
        </w:rPr>
        <w:t>[1991] 1AC 107:</w:t>
      </w:r>
      <w:r w:rsidR="004B5C80" w:rsidRPr="00E750EA">
        <w:rPr>
          <w:rFonts w:eastAsia="Arial Unicode MS"/>
          <w:i/>
          <w:kern w:val="24"/>
        </w:rPr>
        <w:t xml:space="preserve"> </w:t>
      </w:r>
    </w:p>
    <w:p w:rsidR="004B5C80" w:rsidRDefault="004B5C80" w:rsidP="004B5C80">
      <w:pPr>
        <w:spacing w:line="276" w:lineRule="auto"/>
        <w:ind w:left="1440" w:right="566"/>
        <w:jc w:val="both"/>
        <w:rPr>
          <w:color w:val="000000"/>
          <w:sz w:val="21"/>
          <w:szCs w:val="21"/>
        </w:rPr>
      </w:pPr>
      <w:r w:rsidRPr="00DB68C7">
        <w:rPr>
          <w:color w:val="000000"/>
          <w:sz w:val="21"/>
          <w:szCs w:val="21"/>
        </w:rPr>
        <w:t xml:space="preserve">“…The first and fundamental question which must always be resolved is whether, independently of any inference to be drawn from the conduct of the parties in the course of sharing the house as their home and managing their joint affairs, there has at any time prior to acquisition, or exceptionally at some later date, been any agreement, arrangement or understanding reached between them that the property is to be shared beneficially… </w:t>
      </w:r>
    </w:p>
    <w:p w:rsidR="004B5C80" w:rsidRDefault="004B5C80" w:rsidP="004B5C80">
      <w:pPr>
        <w:spacing w:line="276" w:lineRule="auto"/>
        <w:ind w:left="1440" w:right="566"/>
        <w:jc w:val="both"/>
        <w:rPr>
          <w:color w:val="000000"/>
          <w:sz w:val="21"/>
          <w:szCs w:val="21"/>
        </w:rPr>
      </w:pPr>
      <w:r w:rsidRPr="00DB68C7">
        <w:rPr>
          <w:color w:val="000000"/>
          <w:sz w:val="21"/>
          <w:szCs w:val="21"/>
        </w:rPr>
        <w:t xml:space="preserve">In sharp contrast with this situation is the very different one </w:t>
      </w:r>
      <w:r w:rsidRPr="00E750EA">
        <w:rPr>
          <w:color w:val="000000"/>
          <w:sz w:val="21"/>
          <w:szCs w:val="21"/>
          <w:u w:val="single"/>
        </w:rPr>
        <w:t>where there is no evidence to support a finding of an agreement or arrangement to share, however reasonable it might have been for the parties to each such an arrangement if they had applied their minds to the question, and where the court must rely entirely on the conduct of the parties both as the basis from which to infer a common intention to share the property beneficially</w:t>
      </w:r>
      <w:r w:rsidRPr="00DB68C7">
        <w:rPr>
          <w:color w:val="000000"/>
          <w:sz w:val="21"/>
          <w:szCs w:val="21"/>
        </w:rPr>
        <w:t xml:space="preserve"> and as the conduct relied on to give rise to a constructive trust. In this situation direct contributions to the purchase price by the partner who is not the legal owner, whether initially or by payment of mortgage instalments, will readily justify the inference necessary to the creation of a constructive trust. </w:t>
      </w:r>
      <w:r w:rsidRPr="00E750EA">
        <w:rPr>
          <w:color w:val="000000"/>
          <w:sz w:val="21"/>
          <w:szCs w:val="21"/>
          <w:u w:val="single"/>
        </w:rPr>
        <w:t>But, as I read the authorities, it is at least extremely doubtful whether anything less will do</w:t>
      </w:r>
      <w:r w:rsidRPr="00DB68C7">
        <w:rPr>
          <w:color w:val="000000"/>
          <w:sz w:val="21"/>
          <w:szCs w:val="21"/>
        </w:rPr>
        <w:t>”</w:t>
      </w:r>
    </w:p>
    <w:p w:rsidR="004B5C80" w:rsidRDefault="004B5C80" w:rsidP="004B5C80">
      <w:pPr>
        <w:jc w:val="both"/>
        <w:rPr>
          <w:i/>
        </w:rPr>
      </w:pPr>
    </w:p>
    <w:p w:rsidR="004B5C80" w:rsidRPr="008761E9" w:rsidRDefault="004B5C80" w:rsidP="004B5C80">
      <w:pPr>
        <w:jc w:val="both"/>
        <w:rPr>
          <w:i/>
        </w:rPr>
      </w:pPr>
      <w:r>
        <w:rPr>
          <w:i/>
        </w:rPr>
        <w:t>The express common intention</w:t>
      </w:r>
    </w:p>
    <w:p w:rsidR="00C72553" w:rsidRDefault="008761E9" w:rsidP="004B5C80">
      <w:pPr>
        <w:pStyle w:val="ListParagraph"/>
        <w:numPr>
          <w:ilvl w:val="0"/>
          <w:numId w:val="1"/>
        </w:numPr>
        <w:ind w:hanging="720"/>
      </w:pPr>
      <w:r>
        <w:t>If you are asserting the former</w:t>
      </w:r>
      <w:r w:rsidR="004B5C80">
        <w:t xml:space="preserve"> (express)</w:t>
      </w:r>
      <w:r>
        <w:t>, the case may rest on the quality of your client’s recollection as to the discussions:</w:t>
      </w:r>
    </w:p>
    <w:p w:rsidR="008761E9" w:rsidRPr="004B5C80" w:rsidRDefault="008761E9" w:rsidP="008761E9">
      <w:pPr>
        <w:pStyle w:val="ListParagraph"/>
        <w:numPr>
          <w:ilvl w:val="0"/>
          <w:numId w:val="9"/>
        </w:numPr>
        <w:spacing w:after="0"/>
        <w:contextualSpacing w:val="0"/>
        <w:jc w:val="both"/>
        <w:rPr>
          <w:rFonts w:eastAsia="Arial Unicode MS"/>
          <w:kern w:val="24"/>
        </w:rPr>
      </w:pPr>
      <w:r w:rsidRPr="00DB68C7">
        <w:rPr>
          <w:rFonts w:eastAsia="Arial Unicode MS"/>
          <w:kern w:val="24"/>
        </w:rPr>
        <w:t xml:space="preserve">The test is an objective one (what would reasonably have been understood by the discussions). There is a world of difference between </w:t>
      </w:r>
      <w:r w:rsidR="004B5C80">
        <w:rPr>
          <w:rFonts w:eastAsia="Arial Unicode MS"/>
          <w:kern w:val="24"/>
        </w:rPr>
        <w:t xml:space="preserve">ambiguous </w:t>
      </w:r>
      <w:r w:rsidR="004B5C80" w:rsidRPr="00DB68C7">
        <w:t xml:space="preserve">expressions such as </w:t>
      </w:r>
      <w:r w:rsidR="004B5C80" w:rsidRPr="00EE7E14">
        <w:rPr>
          <w:i/>
        </w:rPr>
        <w:t>‘this is our home’, ‘you’ll be provided for’ or ‘you’ll have a roof over your head if anything happens to me’</w:t>
      </w:r>
      <w:r w:rsidR="004B5C80">
        <w:t xml:space="preserve"> (which may or may not indicate a common intention) and </w:t>
      </w:r>
      <w:r w:rsidRPr="00DB68C7">
        <w:rPr>
          <w:rFonts w:eastAsia="Arial Unicode MS"/>
          <w:kern w:val="24"/>
        </w:rPr>
        <w:t>an unambiguous declaration</w:t>
      </w:r>
      <w:r w:rsidR="004B5C80">
        <w:t xml:space="preserve"> such as:</w:t>
      </w:r>
    </w:p>
    <w:p w:rsidR="004B5C80" w:rsidRPr="004B5C80" w:rsidRDefault="004B5C80" w:rsidP="004B5C80">
      <w:pPr>
        <w:pStyle w:val="ListParagraph"/>
        <w:spacing w:after="0" w:line="276" w:lineRule="auto"/>
        <w:ind w:left="2880" w:right="521"/>
        <w:contextualSpacing w:val="0"/>
        <w:jc w:val="both"/>
        <w:rPr>
          <w:rFonts w:eastAsia="Arial Unicode MS"/>
          <w:kern w:val="24"/>
          <w:sz w:val="21"/>
          <w:szCs w:val="21"/>
        </w:rPr>
      </w:pPr>
      <w:r w:rsidRPr="004B5C80">
        <w:rPr>
          <w:sz w:val="21"/>
          <w:szCs w:val="21"/>
        </w:rPr>
        <w:t>“You know that I always stand by my word. You don’t need your name on the deeds to prove it. Anyway, with your name on the mortgage, you have a right to the property; you can prove it. I won’t let you down. If you do not do this we are going to lose our home”.</w:t>
      </w:r>
      <w:r w:rsidRPr="004B5C80">
        <w:rPr>
          <w:i/>
          <w:sz w:val="21"/>
          <w:szCs w:val="21"/>
        </w:rPr>
        <w:t xml:space="preserve"> Hyett v Stanley [2004] 1 FLR 394</w:t>
      </w:r>
      <w:r w:rsidRPr="004B5C80">
        <w:rPr>
          <w:b/>
          <w:sz w:val="21"/>
          <w:szCs w:val="21"/>
        </w:rPr>
        <w:t>)</w:t>
      </w:r>
    </w:p>
    <w:p w:rsidR="00C95EAA" w:rsidRPr="008761E9" w:rsidRDefault="00C95EAA" w:rsidP="00C95EAA">
      <w:pPr>
        <w:pStyle w:val="ListParagraph"/>
        <w:spacing w:after="0"/>
        <w:ind w:left="2160"/>
        <w:contextualSpacing w:val="0"/>
        <w:jc w:val="both"/>
        <w:rPr>
          <w:rFonts w:eastAsia="Arial Unicode MS"/>
          <w:kern w:val="24"/>
        </w:rPr>
      </w:pPr>
    </w:p>
    <w:p w:rsidR="008761E9" w:rsidRPr="001A54F5" w:rsidRDefault="00647B40" w:rsidP="008761E9">
      <w:pPr>
        <w:pStyle w:val="ListParagraph"/>
        <w:numPr>
          <w:ilvl w:val="0"/>
          <w:numId w:val="9"/>
        </w:numPr>
        <w:spacing w:after="0"/>
        <w:contextualSpacing w:val="0"/>
        <w:jc w:val="both"/>
        <w:rPr>
          <w:szCs w:val="22"/>
        </w:rPr>
      </w:pPr>
      <w:r>
        <w:t xml:space="preserve">Living together with promises of future benefit may not be enough. </w:t>
      </w:r>
      <w:r w:rsidR="008761E9" w:rsidRPr="00DB68C7">
        <w:t xml:space="preserve">There are a number of cases in which general expressions have been </w:t>
      </w:r>
      <w:r w:rsidR="008761E9" w:rsidRPr="00DB68C7">
        <w:lastRenderedPageBreak/>
        <w:t xml:space="preserve">found too vague to assist a claimant in establishing an interest: e.g. </w:t>
      </w:r>
      <w:r w:rsidR="008761E9" w:rsidRPr="00DB68C7">
        <w:rPr>
          <w:i/>
          <w:szCs w:val="22"/>
        </w:rPr>
        <w:t>Churchill v Roach</w:t>
      </w:r>
      <w:r w:rsidR="008761E9" w:rsidRPr="00DB68C7">
        <w:rPr>
          <w:szCs w:val="22"/>
        </w:rPr>
        <w:t xml:space="preserve"> [2004] 2 FLR 989, </w:t>
      </w:r>
      <w:r w:rsidR="008761E9" w:rsidRPr="00DB68C7">
        <w:rPr>
          <w:rFonts w:eastAsia="Arial Unicode MS"/>
          <w:i/>
        </w:rPr>
        <w:t>Negus v Bahouse</w:t>
      </w:r>
      <w:r w:rsidR="008761E9" w:rsidRPr="00DB68C7">
        <w:rPr>
          <w:rFonts w:eastAsia="Arial Unicode MS"/>
        </w:rPr>
        <w:t xml:space="preserve"> [2008] 1 FLR 381 and</w:t>
      </w:r>
      <w:r w:rsidR="008761E9" w:rsidRPr="00DB68C7">
        <w:rPr>
          <w:rFonts w:eastAsia="Arial Unicode MS"/>
          <w:b/>
        </w:rPr>
        <w:t xml:space="preserve"> </w:t>
      </w:r>
      <w:r w:rsidR="008761E9" w:rsidRPr="00DB68C7">
        <w:rPr>
          <w:i/>
        </w:rPr>
        <w:t>James v Thomas</w:t>
      </w:r>
      <w:r w:rsidR="008761E9" w:rsidRPr="00DB68C7">
        <w:t xml:space="preserve"> [2008] 1 FLR 1598. </w:t>
      </w:r>
    </w:p>
    <w:p w:rsidR="001A54F5" w:rsidRPr="00DB68C7" w:rsidRDefault="001A54F5" w:rsidP="001A54F5">
      <w:pPr>
        <w:pStyle w:val="ListParagraph"/>
        <w:spacing w:after="0"/>
        <w:ind w:left="2160"/>
        <w:contextualSpacing w:val="0"/>
        <w:jc w:val="both"/>
        <w:rPr>
          <w:szCs w:val="22"/>
        </w:rPr>
      </w:pPr>
    </w:p>
    <w:p w:rsidR="008761E9" w:rsidRDefault="00E750EA" w:rsidP="008761E9">
      <w:pPr>
        <w:pStyle w:val="ListParagraph"/>
        <w:numPr>
          <w:ilvl w:val="0"/>
          <w:numId w:val="9"/>
        </w:numPr>
        <w:spacing w:after="0"/>
        <w:contextualSpacing w:val="0"/>
        <w:jc w:val="both"/>
        <w:rPr>
          <w:rFonts w:eastAsia="Arial Unicode MS"/>
          <w:kern w:val="24"/>
        </w:rPr>
      </w:pPr>
      <w:r>
        <w:t xml:space="preserve">Of these, perhaps the most </w:t>
      </w:r>
      <w:r w:rsidR="008761E9">
        <w:t xml:space="preserve">interesting case (and an important one to read if acting for a defendant) is </w:t>
      </w:r>
      <w:r w:rsidR="008761E9" w:rsidRPr="008761E9">
        <w:rPr>
          <w:rFonts w:eastAsia="Arial Unicode MS"/>
          <w:i/>
          <w:kern w:val="24"/>
        </w:rPr>
        <w:t>James v Thomas</w:t>
      </w:r>
      <w:r w:rsidR="008761E9" w:rsidRPr="008761E9">
        <w:rPr>
          <w:rFonts w:eastAsia="Arial Unicode MS"/>
          <w:kern w:val="24"/>
        </w:rPr>
        <w:t xml:space="preserve"> [2008] 1 FLR 1598. </w:t>
      </w:r>
      <w:r w:rsidR="008761E9">
        <w:rPr>
          <w:rFonts w:eastAsia="Arial Unicode MS"/>
          <w:kern w:val="24"/>
        </w:rPr>
        <w:t>Held (CA): the discussions relied upon – T s</w:t>
      </w:r>
      <w:r w:rsidR="008761E9" w:rsidRPr="008761E9">
        <w:rPr>
          <w:rFonts w:eastAsia="Arial Unicode MS"/>
          <w:kern w:val="24"/>
        </w:rPr>
        <w:t xml:space="preserve">aying </w:t>
      </w:r>
      <w:r w:rsidR="008761E9" w:rsidRPr="008761E9">
        <w:rPr>
          <w:rFonts w:eastAsia="Arial Unicode MS"/>
          <w:i/>
          <w:kern w:val="24"/>
        </w:rPr>
        <w:t>‘this will benefit us both’</w:t>
      </w:r>
      <w:r w:rsidR="008761E9" w:rsidRPr="008761E9">
        <w:rPr>
          <w:rFonts w:eastAsia="Arial Unicode MS"/>
          <w:kern w:val="24"/>
        </w:rPr>
        <w:t xml:space="preserve"> was at least as likely to mean the improvements will improve the property in which they are living, or the business – it did not provide evide</w:t>
      </w:r>
      <w:r w:rsidR="008761E9">
        <w:rPr>
          <w:rFonts w:eastAsia="Arial Unicode MS"/>
          <w:kern w:val="24"/>
        </w:rPr>
        <w:t>nce of a common intention that J</w:t>
      </w:r>
      <w:r w:rsidR="008761E9" w:rsidRPr="008761E9">
        <w:rPr>
          <w:rFonts w:eastAsia="Arial Unicode MS"/>
          <w:kern w:val="24"/>
        </w:rPr>
        <w:t xml:space="preserve"> should have an interest in the property. Similarly, </w:t>
      </w:r>
      <w:r w:rsidR="008761E9" w:rsidRPr="008761E9">
        <w:rPr>
          <w:rFonts w:eastAsia="Arial Unicode MS"/>
          <w:i/>
          <w:kern w:val="24"/>
        </w:rPr>
        <w:t>‘you will be well provided for’</w:t>
      </w:r>
      <w:r w:rsidR="008761E9" w:rsidRPr="008761E9">
        <w:rPr>
          <w:rFonts w:eastAsia="Arial Unicode MS"/>
          <w:kern w:val="24"/>
        </w:rPr>
        <w:t xml:space="preserve"> does not suggest a present proprietary interest in the property – either grounding a constructive trust or proprietary estoppel.</w:t>
      </w:r>
    </w:p>
    <w:p w:rsidR="001A54F5" w:rsidRDefault="001A54F5" w:rsidP="001A54F5">
      <w:pPr>
        <w:pStyle w:val="ListParagraph"/>
        <w:spacing w:after="0"/>
        <w:ind w:left="2160"/>
        <w:contextualSpacing w:val="0"/>
        <w:jc w:val="both"/>
        <w:rPr>
          <w:rFonts w:eastAsia="Arial Unicode MS"/>
          <w:kern w:val="24"/>
        </w:rPr>
      </w:pPr>
    </w:p>
    <w:p w:rsidR="008761E9" w:rsidRDefault="008761E9" w:rsidP="008761E9">
      <w:pPr>
        <w:pStyle w:val="ListParagraph"/>
        <w:numPr>
          <w:ilvl w:val="0"/>
          <w:numId w:val="9"/>
        </w:numPr>
        <w:spacing w:after="0"/>
        <w:contextualSpacing w:val="0"/>
        <w:jc w:val="both"/>
        <w:rPr>
          <w:rFonts w:eastAsia="Arial Unicode MS"/>
          <w:kern w:val="24"/>
        </w:rPr>
      </w:pPr>
      <w:r>
        <w:rPr>
          <w:rFonts w:eastAsia="Arial Unicode MS"/>
          <w:kern w:val="24"/>
        </w:rPr>
        <w:t>Normally, the discussions should be before or at the time of the purchase of the property – they can take place at a later date, although the court will be more cautious.</w:t>
      </w:r>
      <w:r w:rsidR="00C95EAA">
        <w:rPr>
          <w:rFonts w:eastAsia="Arial Unicode MS"/>
          <w:kern w:val="24"/>
        </w:rPr>
        <w:t xml:space="preserve"> The discussions must have been communicated:</w:t>
      </w:r>
    </w:p>
    <w:p w:rsidR="00C95EAA" w:rsidRPr="00575B65" w:rsidRDefault="00C95EAA" w:rsidP="00C95EAA">
      <w:pPr>
        <w:spacing w:line="276" w:lineRule="auto"/>
        <w:ind w:left="2880" w:right="521"/>
        <w:jc w:val="both"/>
        <w:rPr>
          <w:rFonts w:eastAsia="Times New Roman" w:cs="Times New Roman"/>
          <w:sz w:val="21"/>
          <w:szCs w:val="21"/>
          <w:lang w:eastAsia="en-GB"/>
        </w:rPr>
      </w:pPr>
      <w:r w:rsidRPr="00575B65">
        <w:rPr>
          <w:rFonts w:eastAsia="Times New Roman" w:cs="Times New Roman"/>
          <w:sz w:val="21"/>
          <w:szCs w:val="21"/>
          <w:lang w:eastAsia="en-GB"/>
        </w:rPr>
        <w:t>“On behalf of the respondent it was suggested that the parties must have communicated an intention that they should have equal shares at a subconscious level. I fear that will not do. Our trust law does not allow property rights to be affected by telepathy... The law must perforce concentrate on external signs of common intention. It must concentrate on what was said or done, rather than on what was privately thought or speculated.</w:t>
      </w:r>
      <w:r>
        <w:rPr>
          <w:rFonts w:eastAsia="Times New Roman" w:cs="Times New Roman"/>
          <w:sz w:val="21"/>
          <w:szCs w:val="21"/>
          <w:lang w:eastAsia="en-GB"/>
        </w:rPr>
        <w:t xml:space="preserve">”, Steyn LJ, </w:t>
      </w:r>
      <w:r>
        <w:rPr>
          <w:rFonts w:eastAsia="Times New Roman" w:cs="Times New Roman"/>
          <w:i/>
          <w:sz w:val="21"/>
          <w:szCs w:val="21"/>
          <w:lang w:eastAsia="en-GB"/>
        </w:rPr>
        <w:t xml:space="preserve">Springette v Defoe </w:t>
      </w:r>
      <w:r>
        <w:rPr>
          <w:rFonts w:eastAsia="Times New Roman" w:cs="Times New Roman"/>
          <w:sz w:val="21"/>
          <w:szCs w:val="21"/>
          <w:lang w:eastAsia="en-GB"/>
        </w:rPr>
        <w:t>[1992] 2 FLR at 388 at 394</w:t>
      </w:r>
    </w:p>
    <w:p w:rsidR="008761E9" w:rsidRPr="00DB68C7" w:rsidRDefault="008761E9" w:rsidP="001A54F5">
      <w:pPr>
        <w:pStyle w:val="ListParagraph"/>
        <w:spacing w:after="0"/>
        <w:ind w:left="2160"/>
        <w:contextualSpacing w:val="0"/>
        <w:jc w:val="both"/>
        <w:rPr>
          <w:rFonts w:eastAsia="Arial Unicode MS"/>
          <w:kern w:val="24"/>
        </w:rPr>
      </w:pPr>
    </w:p>
    <w:p w:rsidR="001A54F5" w:rsidRDefault="001A54F5" w:rsidP="001A54F5">
      <w:pPr>
        <w:pStyle w:val="ListParagraph"/>
        <w:numPr>
          <w:ilvl w:val="0"/>
          <w:numId w:val="1"/>
        </w:numPr>
        <w:ind w:hanging="720"/>
        <w:jc w:val="both"/>
      </w:pPr>
      <w:r>
        <w:t xml:space="preserve">It </w:t>
      </w:r>
      <w:r w:rsidR="00C95EAA">
        <w:t xml:space="preserve">is worth noting that </w:t>
      </w:r>
      <w:r w:rsidR="004B5C80">
        <w:t>a</w:t>
      </w:r>
      <w:r w:rsidR="00575B65">
        <w:t xml:space="preserve"> CICT does not require express </w:t>
      </w:r>
      <w:r w:rsidR="00575B65" w:rsidRPr="00C95EAA">
        <w:rPr>
          <w:i/>
        </w:rPr>
        <w:t>agreement</w:t>
      </w:r>
      <w:r w:rsidR="00575B65">
        <w:t xml:space="preserve"> between the parties</w:t>
      </w:r>
      <w:r w:rsidR="00C95EAA">
        <w:t xml:space="preserve"> – discussion will suffice, e.g. where a </w:t>
      </w:r>
      <w:r>
        <w:t>man has tricked the woman by saying she’s too young for the house to be put in her name</w:t>
      </w:r>
      <w:r w:rsidRPr="00225890">
        <w:rPr>
          <w:rStyle w:val="FootnoteReference"/>
          <w:rFonts w:eastAsia="Arial Unicode MS"/>
          <w:kern w:val="24"/>
          <w:sz w:val="23"/>
          <w:szCs w:val="23"/>
        </w:rPr>
        <w:footnoteReference w:id="8"/>
      </w:r>
      <w:r>
        <w:t>; the property is being held by him in order not to prejudice other proceedings</w:t>
      </w:r>
      <w:r w:rsidRPr="00225890">
        <w:rPr>
          <w:rStyle w:val="FootnoteReference"/>
          <w:rFonts w:eastAsia="Arial Unicode MS"/>
          <w:kern w:val="24"/>
          <w:sz w:val="23"/>
          <w:szCs w:val="23"/>
        </w:rPr>
        <w:footnoteReference w:id="9"/>
      </w:r>
      <w:r>
        <w:t>, or for tax reasons</w:t>
      </w:r>
      <w:r w:rsidRPr="00225890">
        <w:rPr>
          <w:rStyle w:val="FootnoteReference"/>
          <w:rFonts w:eastAsia="Arial Unicode MS"/>
          <w:kern w:val="24"/>
          <w:sz w:val="23"/>
          <w:szCs w:val="23"/>
        </w:rPr>
        <w:footnoteReference w:id="10"/>
      </w:r>
    </w:p>
    <w:p w:rsidR="001A54F5" w:rsidRDefault="001A54F5" w:rsidP="001A54F5">
      <w:pPr>
        <w:jc w:val="both"/>
      </w:pPr>
    </w:p>
    <w:p w:rsidR="00C95EAA" w:rsidRPr="00C95EAA" w:rsidRDefault="00C95EAA" w:rsidP="001A54F5">
      <w:pPr>
        <w:jc w:val="both"/>
        <w:rPr>
          <w:i/>
        </w:rPr>
      </w:pPr>
      <w:r>
        <w:rPr>
          <w:i/>
        </w:rPr>
        <w:lastRenderedPageBreak/>
        <w:t>The implied common intention</w:t>
      </w:r>
    </w:p>
    <w:p w:rsidR="00E750EA" w:rsidRPr="004B5C80" w:rsidRDefault="00E750EA" w:rsidP="004B5C80">
      <w:pPr>
        <w:pStyle w:val="ListParagraph"/>
        <w:numPr>
          <w:ilvl w:val="0"/>
          <w:numId w:val="1"/>
        </w:numPr>
        <w:ind w:hanging="720"/>
        <w:jc w:val="both"/>
        <w:rPr>
          <w:color w:val="000000"/>
          <w:sz w:val="21"/>
          <w:szCs w:val="21"/>
        </w:rPr>
      </w:pPr>
      <w:r>
        <w:t xml:space="preserve">Alternatively the common intention </w:t>
      </w:r>
      <w:r w:rsidR="004B5C80">
        <w:t xml:space="preserve">may be </w:t>
      </w:r>
      <w:r>
        <w:rPr>
          <w:u w:val="single"/>
        </w:rPr>
        <w:t>implied</w:t>
      </w:r>
      <w:r w:rsidR="004B5C80">
        <w:t xml:space="preserve">: </w:t>
      </w:r>
      <w:r>
        <w:t xml:space="preserve">Direct contributions are fairly straightforward: </w:t>
      </w:r>
      <w:r w:rsidRPr="004B5C80">
        <w:rPr>
          <w:rFonts w:eastAsia="Arial Unicode MS"/>
          <w:kern w:val="24"/>
        </w:rPr>
        <w:t>Contributing towards the deposit or paying towards a mortgage can count as a direct contribution</w:t>
      </w:r>
      <w:r w:rsidRPr="00DB68C7">
        <w:rPr>
          <w:rStyle w:val="FootnoteReference"/>
          <w:rFonts w:eastAsia="Arial Unicode MS"/>
          <w:kern w:val="24"/>
        </w:rPr>
        <w:footnoteReference w:id="11"/>
      </w:r>
      <w:r w:rsidRPr="004B5C80">
        <w:rPr>
          <w:rFonts w:eastAsia="Arial Unicode MS"/>
          <w:kern w:val="24"/>
        </w:rPr>
        <w:t xml:space="preserve">. Even a deposit funded by wedding gifts presumed to be made to both parties: </w:t>
      </w:r>
      <w:r w:rsidRPr="004B5C80">
        <w:rPr>
          <w:i/>
        </w:rPr>
        <w:t xml:space="preserve">Midland Bank v Cooke </w:t>
      </w:r>
      <w:r w:rsidRPr="00DB68C7">
        <w:t>[1995] 2 FLR 915</w:t>
      </w:r>
      <w:r w:rsidRPr="004B5C80">
        <w:rPr>
          <w:rFonts w:eastAsia="Arial Unicode MS"/>
          <w:kern w:val="24"/>
        </w:rPr>
        <w:t>, or one party using their ‘right to buy’ discount, in the absence of contrary agreement or understanding</w:t>
      </w:r>
      <w:r w:rsidRPr="004B5C80">
        <w:rPr>
          <w:rStyle w:val="FootnoteReference"/>
          <w:rFonts w:eastAsia="Arial Unicode MS"/>
          <w:kern w:val="24"/>
        </w:rPr>
        <w:t xml:space="preserve"> </w:t>
      </w:r>
      <w:r w:rsidRPr="004B5C80">
        <w:rPr>
          <w:rFonts w:eastAsia="Arial Unicode MS"/>
          <w:kern w:val="24"/>
        </w:rPr>
        <w:t xml:space="preserve">has also been found to be a direct contribution: </w:t>
      </w:r>
      <w:r w:rsidRPr="004B5C80">
        <w:rPr>
          <w:i/>
        </w:rPr>
        <w:t xml:space="preserve">Springette v Defoe </w:t>
      </w:r>
      <w:r w:rsidRPr="00DB68C7">
        <w:t>[1992] 2 FLR 388</w:t>
      </w:r>
      <w:r w:rsidRPr="004B5C80">
        <w:rPr>
          <w:i/>
        </w:rPr>
        <w:t xml:space="preserve">, Oxley v Hiscock </w:t>
      </w:r>
      <w:r w:rsidRPr="00DB68C7">
        <w:t>[2004] 2 FLR 669. Contrast where a pa</w:t>
      </w:r>
      <w:r>
        <w:t xml:space="preserve">rty’s interest is only nominal, </w:t>
      </w:r>
      <w:r w:rsidRPr="00DB68C7">
        <w:t xml:space="preserve">e.g. their name is solely on the deeds for the purpose of obtaining a mortgage: </w:t>
      </w:r>
      <w:r w:rsidRPr="004B5C80">
        <w:rPr>
          <w:rFonts w:eastAsia="Arial Unicode MS"/>
          <w:i/>
          <w:kern w:val="24"/>
        </w:rPr>
        <w:t>Carlton v Goodman</w:t>
      </w:r>
      <w:r w:rsidRPr="004B5C80">
        <w:rPr>
          <w:rFonts w:eastAsia="Arial Unicode MS"/>
          <w:kern w:val="24"/>
        </w:rPr>
        <w:t xml:space="preserve"> [2002] 2 FLR 559.</w:t>
      </w:r>
    </w:p>
    <w:p w:rsidR="00E750EA" w:rsidRPr="00E750EA" w:rsidRDefault="00E750EA" w:rsidP="00E750EA">
      <w:pPr>
        <w:pStyle w:val="ListParagraph"/>
        <w:jc w:val="both"/>
      </w:pPr>
    </w:p>
    <w:p w:rsidR="00E56A37" w:rsidRPr="00E56A37" w:rsidRDefault="00E750EA" w:rsidP="00E56A37">
      <w:pPr>
        <w:pStyle w:val="ListParagraph"/>
        <w:numPr>
          <w:ilvl w:val="0"/>
          <w:numId w:val="1"/>
        </w:numPr>
        <w:ind w:hanging="720"/>
        <w:jc w:val="both"/>
      </w:pPr>
      <w:r>
        <w:t xml:space="preserve">The more difficult area is where the contributions are indirect – e.g. a woman who pays the bills, groceries but does not directly pay or pay towards the mortgage. </w:t>
      </w:r>
      <w:r w:rsidR="00E56A37">
        <w:rPr>
          <w:rFonts w:eastAsia="Arial Unicode MS"/>
          <w:kern w:val="24"/>
        </w:rPr>
        <w:t xml:space="preserve">Most notoriously, </w:t>
      </w:r>
      <w:r w:rsidR="00E56A37" w:rsidRPr="00DB68C7">
        <w:rPr>
          <w:rFonts w:eastAsia="Arial Unicode MS"/>
          <w:kern w:val="24"/>
        </w:rPr>
        <w:t xml:space="preserve">Mrs Burns </w:t>
      </w:r>
      <w:r w:rsidR="00E56A37">
        <w:rPr>
          <w:rFonts w:eastAsia="Arial Unicode MS"/>
          <w:kern w:val="24"/>
        </w:rPr>
        <w:t>who failed</w:t>
      </w:r>
      <w:r w:rsidR="00E56A37" w:rsidRPr="00DB68C7">
        <w:rPr>
          <w:rFonts w:eastAsia="Arial Unicode MS"/>
          <w:kern w:val="24"/>
        </w:rPr>
        <w:t xml:space="preserve"> to achieve an interest despite cohabiting for 20 years and bearing children by her partner </w:t>
      </w:r>
      <w:r w:rsidR="00E56A37" w:rsidRPr="00DB68C7">
        <w:rPr>
          <w:rFonts w:eastAsia="Arial Unicode MS"/>
          <w:i/>
          <w:kern w:val="24"/>
        </w:rPr>
        <w:t>Burns v Burns</w:t>
      </w:r>
      <w:r w:rsidR="00E56A37" w:rsidRPr="00DB68C7">
        <w:rPr>
          <w:rFonts w:eastAsia="Arial Unicode MS"/>
          <w:kern w:val="24"/>
        </w:rPr>
        <w:t xml:space="preserve"> [1984] FLR 216.</w:t>
      </w:r>
      <w:r w:rsidR="00E56A37">
        <w:rPr>
          <w:rFonts w:eastAsia="Arial Unicode MS"/>
          <w:kern w:val="24"/>
        </w:rPr>
        <w:t xml:space="preserve"> Per </w:t>
      </w:r>
      <w:r w:rsidR="00E56A37" w:rsidRPr="004B5C80">
        <w:rPr>
          <w:rFonts w:eastAsia="Arial Unicode MS"/>
          <w:i/>
          <w:kern w:val="24"/>
        </w:rPr>
        <w:t>Lloyds Bank v Rosset</w:t>
      </w:r>
      <w:r w:rsidR="00E56A37">
        <w:rPr>
          <w:rFonts w:eastAsia="Arial Unicode MS"/>
          <w:kern w:val="24"/>
        </w:rPr>
        <w:t xml:space="preserve">, it was “extremely doubtful” if anything less than direct contributions would do. See </w:t>
      </w:r>
      <w:r w:rsidR="00E56A37" w:rsidRPr="00E56A37">
        <w:rPr>
          <w:rFonts w:eastAsia="Arial Unicode MS"/>
          <w:i/>
          <w:color w:val="000000"/>
          <w:kern w:val="24"/>
        </w:rPr>
        <w:t>Buggs v Buggs</w:t>
      </w:r>
      <w:r w:rsidR="00E56A37" w:rsidRPr="00E56A37">
        <w:rPr>
          <w:rFonts w:eastAsia="Arial Unicode MS"/>
          <w:color w:val="000000"/>
          <w:kern w:val="24"/>
        </w:rPr>
        <w:t xml:space="preserve"> </w:t>
      </w:r>
      <w:r w:rsidR="00E56A37" w:rsidRPr="00E56A37">
        <w:rPr>
          <w:color w:val="000000"/>
        </w:rPr>
        <w:t>[</w:t>
      </w:r>
      <w:r w:rsidR="00E56A37" w:rsidRPr="00E56A37">
        <w:rPr>
          <w:bCs/>
          <w:color w:val="000000"/>
        </w:rPr>
        <w:t>2003] All ER (D) 379 (Jun)</w:t>
      </w:r>
      <w:r w:rsidR="00E56A37">
        <w:rPr>
          <w:bCs/>
          <w:color w:val="000000"/>
        </w:rPr>
        <w:t xml:space="preserve"> and </w:t>
      </w:r>
      <w:r w:rsidR="00E56A37" w:rsidRPr="00E56A37">
        <w:rPr>
          <w:rFonts w:eastAsia="Arial Unicode MS"/>
          <w:i/>
          <w:kern w:val="24"/>
        </w:rPr>
        <w:t>Le Foe v Le Foe</w:t>
      </w:r>
      <w:r w:rsidR="00E56A37" w:rsidRPr="00E56A37">
        <w:rPr>
          <w:rFonts w:eastAsia="Arial Unicode MS"/>
          <w:kern w:val="24"/>
        </w:rPr>
        <w:t xml:space="preserve"> [2001] 2 FLR 2 FLR 970</w:t>
      </w:r>
      <w:r w:rsidR="00E56A37">
        <w:rPr>
          <w:rFonts w:eastAsia="Arial Unicode MS"/>
          <w:kern w:val="24"/>
        </w:rPr>
        <w:t xml:space="preserve"> for contrasting outcomes.</w:t>
      </w:r>
    </w:p>
    <w:p w:rsidR="00E56A37" w:rsidRDefault="00E56A37" w:rsidP="00E56A37">
      <w:pPr>
        <w:pStyle w:val="ListParagraph"/>
      </w:pPr>
    </w:p>
    <w:p w:rsidR="00E56A37" w:rsidRDefault="00E56A37" w:rsidP="004B5C80">
      <w:pPr>
        <w:pStyle w:val="ListParagraph"/>
        <w:numPr>
          <w:ilvl w:val="0"/>
          <w:numId w:val="1"/>
        </w:numPr>
        <w:ind w:hanging="720"/>
        <w:jc w:val="both"/>
      </w:pPr>
      <w:r>
        <w:t>The House of Lords have expressed the view that this traditional view (‘extremely doubtful’) is too restrictive</w:t>
      </w:r>
      <w:r w:rsidR="004B5C80">
        <w:t xml:space="preserve"> and has indicated a relaxation in the court’s approach</w:t>
      </w:r>
      <w:r>
        <w:t xml:space="preserve">: see </w:t>
      </w:r>
      <w:r w:rsidRPr="00E56A37">
        <w:rPr>
          <w:i/>
        </w:rPr>
        <w:t>Stack</w:t>
      </w:r>
      <w:r>
        <w:t xml:space="preserve"> at [6] and </w:t>
      </w:r>
      <w:r w:rsidRPr="00E56A37">
        <w:rPr>
          <w:rFonts w:eastAsia="Arial Unicode MS"/>
          <w:i/>
          <w:kern w:val="24"/>
        </w:rPr>
        <w:t>Abbott v Abbott</w:t>
      </w:r>
      <w:r w:rsidRPr="00E56A37">
        <w:rPr>
          <w:rFonts w:eastAsia="Arial Unicode MS"/>
          <w:kern w:val="24"/>
        </w:rPr>
        <w:t xml:space="preserve"> [2008] 1 FLR 1451</w:t>
      </w:r>
      <w:r>
        <w:rPr>
          <w:rFonts w:eastAsia="Arial Unicode MS"/>
          <w:kern w:val="24"/>
        </w:rPr>
        <w:t>, where Baroness Hale stated the law had ‘moved on’</w:t>
      </w:r>
      <w:r w:rsidR="00956469">
        <w:rPr>
          <w:rFonts w:eastAsia="Arial Unicode MS"/>
          <w:kern w:val="24"/>
        </w:rPr>
        <w:t xml:space="preserve">. </w:t>
      </w:r>
      <w:r w:rsidR="00DE3561" w:rsidRPr="004B5C80">
        <w:rPr>
          <w:rFonts w:eastAsia="Arial Unicode MS"/>
          <w:kern w:val="24"/>
        </w:rPr>
        <w:t>(</w:t>
      </w:r>
      <w:r w:rsidR="004B5C80" w:rsidRPr="004B5C80">
        <w:rPr>
          <w:rFonts w:eastAsia="Arial Unicode MS"/>
          <w:kern w:val="24"/>
        </w:rPr>
        <w:t>However, a</w:t>
      </w:r>
      <w:r w:rsidR="00956469" w:rsidRPr="004B5C80">
        <w:rPr>
          <w:rFonts w:eastAsia="Arial Unicode MS"/>
          <w:kern w:val="24"/>
        </w:rPr>
        <w:t xml:space="preserve"> case directly on the point is still awaited</w:t>
      </w:r>
      <w:r w:rsidR="00DE3561" w:rsidRPr="004B5C80">
        <w:rPr>
          <w:rFonts w:eastAsia="Arial Unicode MS"/>
          <w:kern w:val="24"/>
        </w:rPr>
        <w:t>)</w:t>
      </w:r>
      <w:r w:rsidR="00956469" w:rsidRPr="004B5C80">
        <w:rPr>
          <w:rFonts w:eastAsia="Arial Unicode MS"/>
          <w:kern w:val="24"/>
        </w:rPr>
        <w:t>.</w:t>
      </w:r>
    </w:p>
    <w:p w:rsidR="00E56A37" w:rsidRDefault="00E56A37" w:rsidP="00E56A37">
      <w:pPr>
        <w:jc w:val="both"/>
      </w:pPr>
    </w:p>
    <w:p w:rsidR="00956469" w:rsidRPr="00956469" w:rsidRDefault="00956469" w:rsidP="00E56A37">
      <w:pPr>
        <w:jc w:val="both"/>
        <w:rPr>
          <w:i/>
        </w:rPr>
      </w:pPr>
      <w:r w:rsidRPr="00956469">
        <w:rPr>
          <w:i/>
        </w:rPr>
        <w:t>Detrimental reliance</w:t>
      </w:r>
    </w:p>
    <w:p w:rsidR="00E56A37" w:rsidRDefault="00956469" w:rsidP="00E750EA">
      <w:pPr>
        <w:pStyle w:val="ListParagraph"/>
        <w:numPr>
          <w:ilvl w:val="0"/>
          <w:numId w:val="1"/>
        </w:numPr>
        <w:ind w:hanging="720"/>
        <w:jc w:val="both"/>
      </w:pPr>
      <w:r>
        <w:t>Until recently it has been thought that the second limb of a CICT is detrimental reliance</w:t>
      </w:r>
      <w:r w:rsidR="0024650A">
        <w:rPr>
          <w:rStyle w:val="FootnoteReference"/>
        </w:rPr>
        <w:footnoteReference w:id="12"/>
      </w:r>
      <w:r>
        <w:t xml:space="preserve">. </w:t>
      </w:r>
      <w:r w:rsidR="004B5C80">
        <w:t xml:space="preserve">Equity does not assist a volunteer: a claimant should be able to show they have relied to their detriment (alternatively, changed their position) on the common intention that he should have an interest in the property. </w:t>
      </w:r>
    </w:p>
    <w:p w:rsidR="00332E49" w:rsidRPr="00332E49" w:rsidRDefault="004B5C80" w:rsidP="00332E49">
      <w:pPr>
        <w:pStyle w:val="ListParagraph"/>
        <w:spacing w:line="276" w:lineRule="auto"/>
        <w:ind w:left="1440" w:right="521"/>
        <w:jc w:val="both"/>
        <w:textAlignment w:val="baseline"/>
        <w:rPr>
          <w:rFonts w:eastAsia="Arial Unicode MS"/>
          <w:kern w:val="24"/>
          <w:sz w:val="21"/>
          <w:szCs w:val="23"/>
        </w:rPr>
      </w:pPr>
      <w:r w:rsidRPr="00332E49">
        <w:rPr>
          <w:rFonts w:eastAsia="Arial Unicode MS"/>
          <w:kern w:val="24"/>
          <w:sz w:val="21"/>
          <w:szCs w:val="23"/>
        </w:rPr>
        <w:lastRenderedPageBreak/>
        <w:t xml:space="preserve"> </w:t>
      </w:r>
      <w:r w:rsidR="00332E49" w:rsidRPr="00332E49">
        <w:rPr>
          <w:rFonts w:eastAsia="Arial Unicode MS"/>
          <w:kern w:val="24"/>
          <w:sz w:val="21"/>
          <w:szCs w:val="23"/>
        </w:rPr>
        <w:t xml:space="preserve">“…the law is not so cynical </w:t>
      </w:r>
      <w:bookmarkStart w:id="1" w:name="LPHit2"/>
      <w:bookmarkEnd w:id="1"/>
      <w:r w:rsidR="00332E49" w:rsidRPr="00332E49">
        <w:rPr>
          <w:rFonts w:eastAsia="Arial Unicode MS"/>
          <w:kern w:val="24"/>
          <w:sz w:val="21"/>
          <w:szCs w:val="23"/>
        </w:rPr>
        <w:t>as to infer that a woman will only go to live with a man to whom she is not married if she understands that she is to have an interest in their home. So what sort of conduct is required? In my judgment it must be conduct on which the woman could not reasonably have been expected to embark unless she was to have an interest in the house.”</w:t>
      </w:r>
      <w:r w:rsidR="00332E49">
        <w:rPr>
          <w:rFonts w:eastAsia="Arial Unicode MS"/>
          <w:kern w:val="24"/>
          <w:sz w:val="21"/>
          <w:szCs w:val="23"/>
        </w:rPr>
        <w:t xml:space="preserve"> </w:t>
      </w:r>
      <w:r w:rsidR="00332E49" w:rsidRPr="00332E49">
        <w:rPr>
          <w:rFonts w:eastAsia="Arial Unicode MS"/>
          <w:kern w:val="24"/>
          <w:sz w:val="21"/>
          <w:szCs w:val="23"/>
        </w:rPr>
        <w:t xml:space="preserve">Nourse LJ, </w:t>
      </w:r>
      <w:r w:rsidR="00332E49" w:rsidRPr="00332E49">
        <w:rPr>
          <w:rFonts w:eastAsia="Arial Unicode MS"/>
          <w:i/>
          <w:kern w:val="24"/>
          <w:sz w:val="21"/>
          <w:szCs w:val="23"/>
        </w:rPr>
        <w:t xml:space="preserve">Grant v Edwards </w:t>
      </w:r>
      <w:r w:rsidR="00332E49" w:rsidRPr="00332E49">
        <w:rPr>
          <w:rFonts w:eastAsia="Arial Unicode MS"/>
          <w:kern w:val="24"/>
          <w:sz w:val="21"/>
          <w:szCs w:val="23"/>
        </w:rPr>
        <w:t>[1987] 1 FLR 87 at 95</w:t>
      </w:r>
    </w:p>
    <w:p w:rsidR="00332E49" w:rsidRDefault="00332E49" w:rsidP="00332E49">
      <w:pPr>
        <w:pStyle w:val="ListParagraph"/>
        <w:ind w:left="1440"/>
      </w:pPr>
    </w:p>
    <w:p w:rsidR="00225CD6" w:rsidRDefault="00332E49" w:rsidP="00332E49">
      <w:pPr>
        <w:pStyle w:val="ListParagraph"/>
        <w:numPr>
          <w:ilvl w:val="0"/>
          <w:numId w:val="1"/>
        </w:numPr>
        <w:ind w:hanging="720"/>
        <w:jc w:val="both"/>
      </w:pPr>
      <w:r w:rsidRPr="00332E49">
        <w:t xml:space="preserve">Detriment should be </w:t>
      </w:r>
      <w:r w:rsidR="00CD6F61">
        <w:t>‘</w:t>
      </w:r>
      <w:r w:rsidRPr="00332E49">
        <w:t>substantial</w:t>
      </w:r>
      <w:r w:rsidR="00CD6F61">
        <w:t>’</w:t>
      </w:r>
      <w:r w:rsidR="004B5C80">
        <w:t xml:space="preserve"> (alternatively, ‘detriment should hurt’)</w:t>
      </w:r>
      <w:r w:rsidR="00CD6F61">
        <w:t xml:space="preserve">, although </w:t>
      </w:r>
      <w:r w:rsidR="00225CD6">
        <w:t>in practice, this is not a rigorous test:</w:t>
      </w:r>
    </w:p>
    <w:p w:rsidR="00225CD6" w:rsidRPr="00225CD6" w:rsidRDefault="00225CD6" w:rsidP="00225CD6">
      <w:pPr>
        <w:pStyle w:val="ListParagraph"/>
        <w:spacing w:before="175" w:after="100" w:line="276" w:lineRule="auto"/>
        <w:ind w:left="1440" w:right="521"/>
        <w:jc w:val="both"/>
        <w:rPr>
          <w:rFonts w:eastAsia="Times New Roman" w:cs="Times New Roman"/>
          <w:color w:val="000000"/>
          <w:sz w:val="21"/>
          <w:szCs w:val="21"/>
          <w:lang w:eastAsia="en-GB"/>
        </w:rPr>
      </w:pPr>
      <w:r>
        <w:rPr>
          <w:rFonts w:eastAsia="Times New Roman" w:cs="Times New Roman"/>
          <w:color w:val="000000"/>
          <w:sz w:val="21"/>
          <w:szCs w:val="21"/>
          <w:lang w:eastAsia="en-GB"/>
        </w:rPr>
        <w:t>‘</w:t>
      </w:r>
      <w:r w:rsidRPr="00225CD6">
        <w:rPr>
          <w:rFonts w:eastAsia="Times New Roman" w:cs="Times New Roman"/>
          <w:color w:val="000000"/>
          <w:sz w:val="21"/>
          <w:szCs w:val="21"/>
          <w:lang w:eastAsia="en-GB"/>
        </w:rPr>
        <w:t>… once it has been shown that there was a common intention that the claimant should have an interest in the house, any act done by her to her detriment relating to the joint lives of the parties is, in my judgment, sufficient to qualify. The acts do not have to be inh</w:t>
      </w:r>
      <w:r>
        <w:rPr>
          <w:rFonts w:eastAsia="Times New Roman" w:cs="Times New Roman"/>
          <w:color w:val="000000"/>
          <w:sz w:val="21"/>
          <w:szCs w:val="21"/>
          <w:lang w:eastAsia="en-GB"/>
        </w:rPr>
        <w:t xml:space="preserve">erently referable to the house.’ Sir Nicholas Browne-Wilkinson, </w:t>
      </w:r>
      <w:r>
        <w:rPr>
          <w:rFonts w:eastAsia="Times New Roman" w:cs="Times New Roman"/>
          <w:i/>
          <w:color w:val="000000"/>
          <w:sz w:val="21"/>
          <w:szCs w:val="21"/>
          <w:lang w:eastAsia="en-GB"/>
        </w:rPr>
        <w:t xml:space="preserve">Stokes v Anderson </w:t>
      </w:r>
      <w:r>
        <w:rPr>
          <w:rFonts w:eastAsia="Times New Roman" w:cs="Times New Roman"/>
          <w:color w:val="000000"/>
          <w:sz w:val="21"/>
          <w:szCs w:val="21"/>
          <w:lang w:eastAsia="en-GB"/>
        </w:rPr>
        <w:t xml:space="preserve"> [1991] 1 FLR 391 at 400</w:t>
      </w:r>
    </w:p>
    <w:p w:rsidR="00225CD6" w:rsidRDefault="00225CD6" w:rsidP="00225CD6">
      <w:pPr>
        <w:pStyle w:val="ListParagraph"/>
        <w:ind w:left="1440"/>
        <w:jc w:val="both"/>
      </w:pPr>
    </w:p>
    <w:p w:rsidR="00225CD6" w:rsidRDefault="00225CD6" w:rsidP="00332E49">
      <w:pPr>
        <w:pStyle w:val="ListParagraph"/>
        <w:numPr>
          <w:ilvl w:val="0"/>
          <w:numId w:val="1"/>
        </w:numPr>
        <w:ind w:hanging="720"/>
        <w:jc w:val="both"/>
      </w:pPr>
      <w:r w:rsidRPr="00332E49">
        <w:rPr>
          <w:rFonts w:eastAsia="Arial Unicode MS"/>
          <w:kern w:val="24"/>
        </w:rPr>
        <w:t>Whether the detriment has been sufficiently substantial is to be tested by whether it would be unconscionable to disregard it. The reliance need not be the sole cause of the detriment but there should be a sufficient link</w:t>
      </w:r>
      <w:r w:rsidRPr="00332E49">
        <w:rPr>
          <w:rStyle w:val="FootnoteReference"/>
          <w:rFonts w:eastAsia="Arial Unicode MS"/>
          <w:kern w:val="24"/>
        </w:rPr>
        <w:footnoteReference w:id="13"/>
      </w:r>
      <w:r w:rsidRPr="00332E49">
        <w:rPr>
          <w:rFonts w:eastAsia="Arial Unicode MS"/>
          <w:kern w:val="24"/>
        </w:rPr>
        <w:t>.</w:t>
      </w:r>
    </w:p>
    <w:p w:rsidR="00332E49" w:rsidRDefault="00332E49" w:rsidP="00332E49">
      <w:pPr>
        <w:pStyle w:val="ListParagraph"/>
        <w:jc w:val="both"/>
      </w:pPr>
    </w:p>
    <w:p w:rsidR="0024650A" w:rsidRDefault="0024650A" w:rsidP="00332E49">
      <w:pPr>
        <w:pStyle w:val="ListParagraph"/>
        <w:jc w:val="both"/>
      </w:pPr>
    </w:p>
    <w:p w:rsidR="0024650A" w:rsidRPr="00502236" w:rsidRDefault="000728B0" w:rsidP="00DE3561">
      <w:pPr>
        <w:jc w:val="both"/>
        <w:rPr>
          <w:i/>
          <w:u w:val="double"/>
        </w:rPr>
      </w:pPr>
      <w:r w:rsidRPr="00502236">
        <w:rPr>
          <w:i/>
          <w:u w:val="double"/>
        </w:rPr>
        <w:t>Proprietary estoppel</w:t>
      </w:r>
    </w:p>
    <w:p w:rsidR="00DE3561" w:rsidRDefault="000728B0" w:rsidP="00DE3561">
      <w:pPr>
        <w:pStyle w:val="ListParagraph"/>
        <w:numPr>
          <w:ilvl w:val="0"/>
          <w:numId w:val="1"/>
        </w:numPr>
        <w:ind w:hanging="720"/>
        <w:jc w:val="both"/>
      </w:pPr>
      <w:r>
        <w:t>T</w:t>
      </w:r>
      <w:r w:rsidR="00DE3561">
        <w:t xml:space="preserve">he </w:t>
      </w:r>
      <w:r>
        <w:t xml:space="preserve">essential </w:t>
      </w:r>
      <w:r w:rsidR="00DE3561">
        <w:t>components are</w:t>
      </w:r>
      <w:r>
        <w:t>:</w:t>
      </w:r>
    </w:p>
    <w:p w:rsidR="00DE3561" w:rsidRDefault="00DE3561" w:rsidP="00DE3561">
      <w:pPr>
        <w:pStyle w:val="ListParagraph"/>
        <w:numPr>
          <w:ilvl w:val="0"/>
          <w:numId w:val="11"/>
        </w:numPr>
        <w:jc w:val="both"/>
      </w:pPr>
      <w:r>
        <w:t xml:space="preserve">A </w:t>
      </w:r>
      <w:r w:rsidR="000728B0">
        <w:t xml:space="preserve">clear and unambiguous </w:t>
      </w:r>
      <w:r>
        <w:t xml:space="preserve">representation or assurance that the claimant will have an interest in </w:t>
      </w:r>
      <w:r w:rsidR="00F67CB7">
        <w:t>an</w:t>
      </w:r>
      <w:r w:rsidR="00647B40">
        <w:t xml:space="preserve"> objectively identifiable</w:t>
      </w:r>
      <w:r>
        <w:t xml:space="preserve"> property;</w:t>
      </w:r>
    </w:p>
    <w:p w:rsidR="00DE3561" w:rsidRDefault="00DE3561" w:rsidP="00DE3561">
      <w:pPr>
        <w:pStyle w:val="ListParagraph"/>
        <w:numPr>
          <w:ilvl w:val="0"/>
          <w:numId w:val="11"/>
        </w:numPr>
        <w:jc w:val="both"/>
      </w:pPr>
      <w:r>
        <w:t>The claimant relying on such assurance to his detriment;</w:t>
      </w:r>
    </w:p>
    <w:p w:rsidR="00DE3561" w:rsidRDefault="00DE3561" w:rsidP="00DE3561">
      <w:pPr>
        <w:pStyle w:val="ListParagraph"/>
        <w:numPr>
          <w:ilvl w:val="0"/>
          <w:numId w:val="11"/>
        </w:numPr>
        <w:jc w:val="both"/>
      </w:pPr>
      <w:r>
        <w:t>The denial of this interest by the owner</w:t>
      </w:r>
    </w:p>
    <w:p w:rsidR="00DE3561" w:rsidRDefault="00DE3561" w:rsidP="00DE3561">
      <w:pPr>
        <w:pStyle w:val="ListParagraph"/>
        <w:numPr>
          <w:ilvl w:val="0"/>
          <w:numId w:val="11"/>
        </w:numPr>
        <w:jc w:val="both"/>
      </w:pPr>
      <w:r>
        <w:t xml:space="preserve">The overriding principle is that </w:t>
      </w:r>
      <w:r w:rsidR="000728B0">
        <w:t>unconscionable conduct should be defeated.</w:t>
      </w:r>
    </w:p>
    <w:p w:rsidR="000728B0" w:rsidRDefault="000728B0" w:rsidP="000728B0">
      <w:pPr>
        <w:pStyle w:val="ListParagraph"/>
        <w:jc w:val="both"/>
      </w:pPr>
    </w:p>
    <w:p w:rsidR="000728B0" w:rsidRDefault="000728B0" w:rsidP="000728B0">
      <w:pPr>
        <w:pStyle w:val="ListParagraph"/>
        <w:numPr>
          <w:ilvl w:val="0"/>
          <w:numId w:val="1"/>
        </w:numPr>
        <w:ind w:hanging="720"/>
        <w:jc w:val="both"/>
      </w:pPr>
      <w:r>
        <w:t xml:space="preserve">The leading case is the House of Lords decision in </w:t>
      </w:r>
      <w:r w:rsidRPr="000728B0">
        <w:rPr>
          <w:i/>
        </w:rPr>
        <w:t>Thorner v Majors</w:t>
      </w:r>
      <w:r>
        <w:t xml:space="preserve"> [2009] 2 FLR 405, concerning a man who worked on his cousin’s farm for 29 years (including many years of unpaid work), and who let various opportunities go as his cousin indicated the farm would be left to him.  </w:t>
      </w:r>
      <w:r w:rsidR="00502236">
        <w:t>The cousin (Peter Thorner) died without a will</w:t>
      </w:r>
      <w:r w:rsidR="00A1488E">
        <w:t xml:space="preserve">. Claimant issued proceedings against the estate. </w:t>
      </w:r>
      <w:r>
        <w:t>Held (HL)</w:t>
      </w:r>
    </w:p>
    <w:p w:rsidR="000728B0" w:rsidRDefault="000728B0" w:rsidP="000728B0">
      <w:pPr>
        <w:pStyle w:val="ListParagraph"/>
        <w:numPr>
          <w:ilvl w:val="0"/>
          <w:numId w:val="12"/>
        </w:numPr>
        <w:jc w:val="both"/>
      </w:pPr>
      <w:r>
        <w:lastRenderedPageBreak/>
        <w:t>In order to establish a proprietary estoppel, the relevant assurance must be ‘clear enough’, which is dependent on context – the parties subject understanding of what they thought they were agreeing was admissible;</w:t>
      </w:r>
    </w:p>
    <w:p w:rsidR="001A54F5" w:rsidRDefault="001A54F5" w:rsidP="001A54F5">
      <w:pPr>
        <w:pStyle w:val="ListParagraph"/>
        <w:ind w:left="2160"/>
        <w:jc w:val="both"/>
      </w:pPr>
    </w:p>
    <w:p w:rsidR="000728B0" w:rsidRDefault="000728B0" w:rsidP="000728B0">
      <w:pPr>
        <w:pStyle w:val="ListParagraph"/>
        <w:numPr>
          <w:ilvl w:val="0"/>
          <w:numId w:val="12"/>
        </w:numPr>
        <w:jc w:val="both"/>
      </w:pPr>
      <w:r>
        <w:t>If the statements were understood by the claimant who reasonably acted to his detriment</w:t>
      </w:r>
      <w:r w:rsidR="00F67CB7">
        <w:t>, the intentions of the owner were not germane;</w:t>
      </w:r>
    </w:p>
    <w:p w:rsidR="001A54F5" w:rsidRDefault="001A54F5" w:rsidP="001A54F5">
      <w:pPr>
        <w:pStyle w:val="ListParagraph"/>
        <w:ind w:left="2160"/>
        <w:jc w:val="both"/>
      </w:pPr>
    </w:p>
    <w:p w:rsidR="00F67CB7" w:rsidRDefault="00F67CB7" w:rsidP="000728B0">
      <w:pPr>
        <w:pStyle w:val="ListParagraph"/>
        <w:numPr>
          <w:ilvl w:val="0"/>
          <w:numId w:val="12"/>
        </w:numPr>
        <w:jc w:val="both"/>
      </w:pPr>
      <w:r>
        <w:t>The assurances must refer to an identified property (as opposed to a more general assurance of ‘financial security’ which would not suffice) it was not necessary for the precise extent of the property to be defined in every case.</w:t>
      </w:r>
    </w:p>
    <w:p w:rsidR="00502236" w:rsidRDefault="00502236" w:rsidP="00502236">
      <w:pPr>
        <w:pStyle w:val="ListParagraph"/>
        <w:ind w:left="2160"/>
        <w:jc w:val="both"/>
      </w:pPr>
    </w:p>
    <w:p w:rsidR="00225CD6" w:rsidRDefault="00225CD6" w:rsidP="000728B0">
      <w:pPr>
        <w:pStyle w:val="ListParagraph"/>
        <w:numPr>
          <w:ilvl w:val="0"/>
          <w:numId w:val="1"/>
        </w:numPr>
        <w:ind w:hanging="720"/>
        <w:jc w:val="both"/>
      </w:pPr>
      <w:r>
        <w:t xml:space="preserve">Another (more interesting?) example is </w:t>
      </w:r>
      <w:r w:rsidRPr="00225CD6">
        <w:rPr>
          <w:i/>
        </w:rPr>
        <w:t>Lissimore v Downing</w:t>
      </w:r>
      <w:r>
        <w:t xml:space="preserve"> [2003] 2 FLR 308:</w:t>
      </w:r>
    </w:p>
    <w:p w:rsidR="00225CD6" w:rsidRDefault="00225CD6" w:rsidP="00225CD6">
      <w:pPr>
        <w:spacing w:line="276" w:lineRule="auto"/>
        <w:ind w:left="2160" w:right="380"/>
        <w:jc w:val="both"/>
        <w:textAlignment w:val="baseline"/>
        <w:rPr>
          <w:rFonts w:eastAsia="Arial Unicode MS"/>
          <w:i/>
          <w:iCs/>
          <w:kern w:val="24"/>
          <w:sz w:val="21"/>
          <w:szCs w:val="23"/>
        </w:rPr>
      </w:pPr>
      <w:r>
        <w:t xml:space="preserve"> </w:t>
      </w:r>
      <w:r w:rsidRPr="008E62BE">
        <w:rPr>
          <w:rFonts w:eastAsia="Arial Unicode MS"/>
          <w:kern w:val="24"/>
          <w:sz w:val="21"/>
          <w:szCs w:val="23"/>
        </w:rPr>
        <w:t xml:space="preserve">“[55] In reaching that conclusion I have borne in mind that part of Miss Lissimore’s evidence in which she told me: ‘Ken was Astbury. Ken was me. I was Ken. I was Astbury.’ But such mysticism is not a substitute for the elements identified by Mr Edward Nugee QC in </w:t>
      </w:r>
      <w:r w:rsidRPr="008E62BE">
        <w:rPr>
          <w:rFonts w:eastAsia="Arial Unicode MS"/>
          <w:i/>
          <w:iCs/>
          <w:kern w:val="24"/>
          <w:sz w:val="21"/>
          <w:szCs w:val="23"/>
        </w:rPr>
        <w:t>Re Basham”</w:t>
      </w:r>
    </w:p>
    <w:p w:rsidR="00225CD6" w:rsidRDefault="00225CD6" w:rsidP="00225CD6">
      <w:pPr>
        <w:pStyle w:val="ListParagraph"/>
        <w:jc w:val="both"/>
      </w:pPr>
    </w:p>
    <w:p w:rsidR="000728B0" w:rsidRPr="00502236" w:rsidRDefault="004B5C80" w:rsidP="000728B0">
      <w:pPr>
        <w:pStyle w:val="ListParagraph"/>
        <w:numPr>
          <w:ilvl w:val="0"/>
          <w:numId w:val="1"/>
        </w:numPr>
        <w:ind w:hanging="720"/>
        <w:jc w:val="both"/>
      </w:pPr>
      <w:r>
        <w:t>One</w:t>
      </w:r>
      <w:r w:rsidR="000728B0" w:rsidRPr="00502236">
        <w:t xml:space="preserve"> significant difference is the range of remedies available in proprietary estoppel. The court will do ‘the minimum </w:t>
      </w:r>
      <w:r w:rsidR="00502236" w:rsidRPr="00502236">
        <w:t>required</w:t>
      </w:r>
      <w:r w:rsidR="000728B0" w:rsidRPr="00502236">
        <w:t xml:space="preserve"> to do justice to the plaintiff’</w:t>
      </w:r>
      <w:r w:rsidR="000728B0" w:rsidRPr="00502236">
        <w:rPr>
          <w:rStyle w:val="FootnoteReference"/>
        </w:rPr>
        <w:footnoteReference w:id="14"/>
      </w:r>
      <w:r w:rsidR="000728B0" w:rsidRPr="00502236">
        <w:t>, although this did not require the court to be ‘constitutionally parsimonious’:</w:t>
      </w:r>
    </w:p>
    <w:p w:rsidR="000728B0" w:rsidRPr="000728B0" w:rsidRDefault="000728B0" w:rsidP="001A54F5">
      <w:pPr>
        <w:spacing w:line="276" w:lineRule="auto"/>
        <w:ind w:left="2160" w:right="452"/>
        <w:jc w:val="both"/>
        <w:rPr>
          <w:color w:val="000000"/>
          <w:sz w:val="21"/>
          <w:szCs w:val="21"/>
        </w:rPr>
      </w:pPr>
      <w:r w:rsidRPr="000728B0">
        <w:rPr>
          <w:color w:val="000000"/>
          <w:sz w:val="21"/>
          <w:szCs w:val="21"/>
        </w:rPr>
        <w:t>“</w:t>
      </w:r>
      <w:r w:rsidR="001A54F5">
        <w:rPr>
          <w:color w:val="000000"/>
          <w:sz w:val="21"/>
          <w:szCs w:val="21"/>
        </w:rPr>
        <w:t>...</w:t>
      </w:r>
      <w:r w:rsidRPr="000728B0">
        <w:rPr>
          <w:color w:val="000000"/>
          <w:sz w:val="21"/>
          <w:szCs w:val="21"/>
        </w:rPr>
        <w:t xml:space="preserve">once the elements of proprietary estoppel are established an equity arises. The value of that equity will depend upon all the circumstances including the expectation and the detriment. The task of the court is to do justice. The most essential requirement is that there must be proportionality between the expectation and the detriment” Aldous LJ in </w:t>
      </w:r>
      <w:r w:rsidRPr="000728B0">
        <w:rPr>
          <w:i/>
          <w:color w:val="000000"/>
          <w:sz w:val="21"/>
          <w:szCs w:val="21"/>
        </w:rPr>
        <w:t xml:space="preserve">Jennings v Rice </w:t>
      </w:r>
      <w:r w:rsidRPr="000728B0">
        <w:rPr>
          <w:color w:val="000000"/>
          <w:sz w:val="21"/>
          <w:szCs w:val="21"/>
        </w:rPr>
        <w:t>[2003] 1 FCR 501 at [36]</w:t>
      </w:r>
      <w:r w:rsidRPr="000728B0">
        <w:rPr>
          <w:rStyle w:val="FootnoteReference"/>
          <w:color w:val="000000"/>
          <w:sz w:val="21"/>
          <w:szCs w:val="21"/>
        </w:rPr>
        <w:footnoteReference w:id="15"/>
      </w:r>
    </w:p>
    <w:p w:rsidR="00DE3561" w:rsidRDefault="00DE3561" w:rsidP="00332E49">
      <w:pPr>
        <w:pStyle w:val="ListParagraph"/>
        <w:jc w:val="both"/>
      </w:pPr>
    </w:p>
    <w:p w:rsidR="000728B0" w:rsidRPr="000728B0" w:rsidRDefault="000728B0" w:rsidP="000728B0">
      <w:pPr>
        <w:pStyle w:val="ListParagraph"/>
        <w:numPr>
          <w:ilvl w:val="0"/>
          <w:numId w:val="1"/>
        </w:numPr>
        <w:spacing w:after="0"/>
        <w:ind w:hanging="720"/>
        <w:jc w:val="both"/>
        <w:rPr>
          <w:rFonts w:eastAsia="Arial Unicode MS"/>
          <w:kern w:val="24"/>
        </w:rPr>
      </w:pPr>
      <w:r w:rsidRPr="000728B0">
        <w:rPr>
          <w:rFonts w:eastAsia="Arial Unicode MS"/>
          <w:kern w:val="24"/>
        </w:rPr>
        <w:t>The court has recourse to a wider range of remedies to satisfy the equity, e.g. transfer of ownership</w:t>
      </w:r>
      <w:r w:rsidRPr="000728B0">
        <w:rPr>
          <w:rStyle w:val="FootnoteReference"/>
          <w:rFonts w:eastAsia="Arial Unicode MS"/>
          <w:kern w:val="24"/>
        </w:rPr>
        <w:footnoteReference w:id="16"/>
      </w:r>
      <w:r w:rsidRPr="000728B0">
        <w:rPr>
          <w:rFonts w:eastAsia="Arial Unicode MS"/>
          <w:kern w:val="24"/>
        </w:rPr>
        <w:t>, payment of a lump sum</w:t>
      </w:r>
      <w:r w:rsidRPr="000728B0">
        <w:rPr>
          <w:rStyle w:val="FootnoteReference"/>
          <w:rFonts w:eastAsia="Arial Unicode MS"/>
          <w:kern w:val="24"/>
        </w:rPr>
        <w:footnoteReference w:id="17"/>
      </w:r>
      <w:r w:rsidRPr="000728B0">
        <w:rPr>
          <w:rFonts w:eastAsia="Arial Unicode MS"/>
          <w:kern w:val="24"/>
        </w:rPr>
        <w:t xml:space="preserve">, granting of a licence to occupy a property </w:t>
      </w:r>
      <w:r w:rsidRPr="000728B0">
        <w:rPr>
          <w:rFonts w:eastAsia="Arial Unicode MS"/>
          <w:kern w:val="24"/>
        </w:rPr>
        <w:lastRenderedPageBreak/>
        <w:t>rent-free for life</w:t>
      </w:r>
      <w:r w:rsidRPr="000728B0">
        <w:rPr>
          <w:rStyle w:val="FootnoteReference"/>
          <w:rFonts w:eastAsia="Arial Unicode MS"/>
          <w:kern w:val="24"/>
        </w:rPr>
        <w:footnoteReference w:id="18"/>
      </w:r>
      <w:r w:rsidRPr="000728B0">
        <w:rPr>
          <w:rFonts w:eastAsia="Arial Unicode MS"/>
          <w:kern w:val="24"/>
        </w:rPr>
        <w:t>, allowing defendant to remain in property in which parties are each joint legal &amp; beneficial owners for life</w:t>
      </w:r>
      <w:r w:rsidRPr="000728B0">
        <w:rPr>
          <w:rStyle w:val="FootnoteReference"/>
          <w:rFonts w:eastAsia="Arial Unicode MS"/>
          <w:kern w:val="24"/>
        </w:rPr>
        <w:footnoteReference w:id="19"/>
      </w:r>
      <w:r w:rsidRPr="000728B0">
        <w:rPr>
          <w:rFonts w:eastAsia="Arial Unicode MS"/>
          <w:kern w:val="24"/>
        </w:rPr>
        <w:t>.</w:t>
      </w:r>
    </w:p>
    <w:p w:rsidR="00DE3561" w:rsidRDefault="00DE3561" w:rsidP="00332E49">
      <w:pPr>
        <w:jc w:val="both"/>
      </w:pPr>
    </w:p>
    <w:p w:rsidR="00A1488E" w:rsidRPr="00A1488E" w:rsidRDefault="00A1488E" w:rsidP="00332E49">
      <w:pPr>
        <w:jc w:val="both"/>
      </w:pPr>
    </w:p>
    <w:p w:rsidR="00A1488E" w:rsidRPr="00A1488E" w:rsidRDefault="00A1488E" w:rsidP="00332E49">
      <w:pPr>
        <w:jc w:val="both"/>
        <w:rPr>
          <w:u w:val="double"/>
        </w:rPr>
      </w:pPr>
      <w:r w:rsidRPr="00A1488E">
        <w:rPr>
          <w:u w:val="double"/>
        </w:rPr>
        <w:t>Resulting trust</w:t>
      </w:r>
    </w:p>
    <w:p w:rsidR="00A1488E" w:rsidRPr="00A1488E" w:rsidRDefault="00A1488E" w:rsidP="00A1488E">
      <w:pPr>
        <w:pStyle w:val="ListParagraph"/>
        <w:numPr>
          <w:ilvl w:val="0"/>
          <w:numId w:val="1"/>
        </w:numPr>
        <w:spacing w:after="0"/>
        <w:ind w:hanging="720"/>
        <w:rPr>
          <w:rFonts w:eastAsia="Arial Unicode MS"/>
          <w:kern w:val="24"/>
        </w:rPr>
      </w:pPr>
      <w:r>
        <w:rPr>
          <w:rFonts w:eastAsia="Arial Unicode MS"/>
          <w:kern w:val="24"/>
        </w:rPr>
        <w:t xml:space="preserve">In ‘domestic’ or ‘consumer’ cases the court will generally prefer the CICT approach to the ‘resulting trust’, which involves a </w:t>
      </w:r>
      <w:r w:rsidRPr="00A1488E">
        <w:rPr>
          <w:rFonts w:eastAsia="Arial Unicode MS"/>
          <w:kern w:val="24"/>
          <w:u w:val="single"/>
        </w:rPr>
        <w:t>direct</w:t>
      </w:r>
      <w:r w:rsidRPr="00A1488E">
        <w:rPr>
          <w:rFonts w:eastAsia="Arial Unicode MS"/>
          <w:kern w:val="24"/>
        </w:rPr>
        <w:t xml:space="preserve"> contribution to the purchase price of property (which can include being party to the mortgage) creates a rebuttable presumption that property is held on resulting trust. This presumption will yield to evidence of a gift, or presumption of advancement.</w:t>
      </w:r>
    </w:p>
    <w:p w:rsidR="00A1488E" w:rsidRDefault="00A1488E" w:rsidP="00A1488E">
      <w:pPr>
        <w:pStyle w:val="ListParagraph"/>
        <w:spacing w:after="0"/>
        <w:jc w:val="both"/>
        <w:rPr>
          <w:rFonts w:eastAsia="Arial Unicode MS"/>
          <w:kern w:val="24"/>
        </w:rPr>
      </w:pPr>
    </w:p>
    <w:p w:rsidR="00A1488E" w:rsidRDefault="00A1488E" w:rsidP="00A1488E">
      <w:pPr>
        <w:pStyle w:val="ListParagraph"/>
        <w:numPr>
          <w:ilvl w:val="0"/>
          <w:numId w:val="1"/>
        </w:numPr>
        <w:spacing w:after="0"/>
        <w:ind w:hanging="720"/>
        <w:jc w:val="both"/>
        <w:rPr>
          <w:rFonts w:eastAsia="Arial Unicode MS"/>
          <w:kern w:val="24"/>
        </w:rPr>
      </w:pPr>
      <w:r w:rsidRPr="00A1488E">
        <w:rPr>
          <w:rFonts w:eastAsia="Arial Unicode MS"/>
          <w:kern w:val="24"/>
        </w:rPr>
        <w:t>Beneficial shares are quantified under a resulting trust o</w:t>
      </w:r>
      <w:r>
        <w:rPr>
          <w:rFonts w:eastAsia="Arial Unicode MS"/>
          <w:kern w:val="24"/>
        </w:rPr>
        <w:t>n a strict arithmetic approach.</w:t>
      </w:r>
    </w:p>
    <w:p w:rsidR="00A1488E" w:rsidRPr="00A1488E" w:rsidRDefault="00A1488E" w:rsidP="00A1488E">
      <w:pPr>
        <w:pStyle w:val="ListParagraph"/>
        <w:jc w:val="both"/>
        <w:rPr>
          <w:rFonts w:eastAsia="Arial Unicode MS"/>
          <w:kern w:val="24"/>
        </w:rPr>
      </w:pPr>
    </w:p>
    <w:p w:rsidR="00A1488E" w:rsidRPr="00A1488E" w:rsidRDefault="00A1488E" w:rsidP="00A1488E">
      <w:pPr>
        <w:pStyle w:val="ListParagraph"/>
        <w:numPr>
          <w:ilvl w:val="0"/>
          <w:numId w:val="1"/>
        </w:numPr>
        <w:spacing w:after="0"/>
        <w:ind w:hanging="720"/>
        <w:jc w:val="both"/>
        <w:rPr>
          <w:rFonts w:eastAsia="Arial Unicode MS"/>
          <w:kern w:val="24"/>
        </w:rPr>
      </w:pPr>
      <w:r>
        <w:rPr>
          <w:rFonts w:eastAsia="Arial Unicode MS"/>
          <w:kern w:val="24"/>
        </w:rPr>
        <w:t xml:space="preserve">A resulting trust approach (which is the more traditional Chancery approach, and has the benefit of being clearly quantifiable) </w:t>
      </w:r>
      <w:r w:rsidR="00C33B28">
        <w:rPr>
          <w:rFonts w:eastAsia="Arial Unicode MS"/>
          <w:kern w:val="24"/>
        </w:rPr>
        <w:t xml:space="preserve">is </w:t>
      </w:r>
      <w:r>
        <w:rPr>
          <w:rFonts w:eastAsia="Arial Unicode MS"/>
          <w:kern w:val="24"/>
        </w:rPr>
        <w:t xml:space="preserve">generally </w:t>
      </w:r>
      <w:r w:rsidR="00C33B28">
        <w:rPr>
          <w:rFonts w:eastAsia="Arial Unicode MS"/>
          <w:kern w:val="24"/>
        </w:rPr>
        <w:t xml:space="preserve">followed </w:t>
      </w:r>
      <w:r>
        <w:rPr>
          <w:rFonts w:eastAsia="Arial Unicode MS"/>
          <w:kern w:val="24"/>
        </w:rPr>
        <w:t xml:space="preserve">in commercial disputes, and where parties who are linked domestically purchase a property which they do not intend to live in. For example, in </w:t>
      </w:r>
      <w:r w:rsidRPr="00A1488E">
        <w:rPr>
          <w:rFonts w:eastAsia="Arial Unicode MS"/>
          <w:i/>
          <w:color w:val="000000"/>
          <w:kern w:val="24"/>
        </w:rPr>
        <w:t>Laskar v Laskar</w:t>
      </w:r>
      <w:r w:rsidRPr="00A1488E">
        <w:rPr>
          <w:rFonts w:eastAsia="Arial Unicode MS"/>
          <w:color w:val="000000"/>
          <w:kern w:val="24"/>
        </w:rPr>
        <w:t xml:space="preserve"> [2008] 2 FLR 589</w:t>
      </w:r>
      <w:r>
        <w:rPr>
          <w:rFonts w:eastAsia="Arial Unicode MS"/>
          <w:color w:val="000000"/>
          <w:kern w:val="24"/>
        </w:rPr>
        <w:t xml:space="preserve">, a woman (applying a ‘right to buy’ discount) and her daughter bought a property in their joint names without a declaration of trust. Daughter issued a claim seeking a 50% share. Held (CA) her interest was 33%: </w:t>
      </w:r>
      <w:r w:rsidRPr="00A1488E">
        <w:rPr>
          <w:rFonts w:eastAsia="Arial Unicode MS"/>
          <w:i/>
          <w:kern w:val="24"/>
        </w:rPr>
        <w:t>Stack</w:t>
      </w:r>
      <w:r w:rsidRPr="00A1488E">
        <w:rPr>
          <w:rFonts w:eastAsia="Arial Unicode MS"/>
          <w:kern w:val="24"/>
        </w:rPr>
        <w:t xml:space="preserve"> was not applicable; there was no reason not to fall back on the resulting trust analysis, i.e. their respective beneficial shares resulted or reflected the size of their contribution to the purchase price, subject to any subsequent actions or discussions having the effect of varying those shares. </w:t>
      </w:r>
    </w:p>
    <w:p w:rsidR="00DE3561" w:rsidRDefault="00DE3561" w:rsidP="00332E49">
      <w:pPr>
        <w:pStyle w:val="ListParagraph"/>
        <w:jc w:val="both"/>
        <w:rPr>
          <w:rFonts w:eastAsia="Arial Unicode MS"/>
          <w:kern w:val="24"/>
        </w:rPr>
      </w:pPr>
    </w:p>
    <w:p w:rsidR="00225CD6" w:rsidRDefault="00225CD6" w:rsidP="00332E49">
      <w:pPr>
        <w:pStyle w:val="ListParagraph"/>
        <w:jc w:val="both"/>
        <w:rPr>
          <w:rFonts w:eastAsia="Arial Unicode MS"/>
          <w:kern w:val="24"/>
        </w:rPr>
      </w:pPr>
    </w:p>
    <w:p w:rsidR="00CD6F61" w:rsidRPr="00CD6F61" w:rsidRDefault="00CD6F61" w:rsidP="00CD6F61">
      <w:pPr>
        <w:ind w:right="566"/>
        <w:jc w:val="both"/>
        <w:rPr>
          <w:u w:val="double"/>
        </w:rPr>
      </w:pPr>
      <w:r w:rsidRPr="00CD6F61">
        <w:rPr>
          <w:u w:val="double"/>
        </w:rPr>
        <w:t>Equitable accounting/ Compensation</w:t>
      </w:r>
    </w:p>
    <w:p w:rsidR="00CD6F61" w:rsidRDefault="00CD6F61" w:rsidP="00CD6F61">
      <w:pPr>
        <w:pStyle w:val="ListParagraph"/>
        <w:numPr>
          <w:ilvl w:val="0"/>
          <w:numId w:val="1"/>
        </w:numPr>
        <w:spacing w:after="0"/>
        <w:ind w:hanging="720"/>
        <w:jc w:val="both"/>
      </w:pPr>
      <w:r>
        <w:t>Once the court has declared the parties beneficial shares, there may be an adjustment to compensate for payments made by one party</w:t>
      </w:r>
      <w:r w:rsidR="00B1096F">
        <w:t>, such as for payment of an ‘occupation rent’</w:t>
      </w:r>
      <w:r>
        <w:t xml:space="preserve">. </w:t>
      </w:r>
      <w:r w:rsidR="00225CD6">
        <w:t>In ‘domestic’ or ‘consumer’ cases, this must be undertaken with</w:t>
      </w:r>
      <w:r w:rsidR="00C33B28">
        <w:t xml:space="preserve"> the </w:t>
      </w:r>
      <w:r w:rsidR="00C33B28">
        <w:lastRenderedPageBreak/>
        <w:t>statute (</w:t>
      </w:r>
      <w:r w:rsidR="00225CD6">
        <w:t xml:space="preserve">TOLATA s </w:t>
      </w:r>
      <w:r w:rsidR="00B1096F">
        <w:t xml:space="preserve">12 - </w:t>
      </w:r>
      <w:r w:rsidR="00225CD6">
        <w:t>1</w:t>
      </w:r>
      <w:r w:rsidR="00C33B28">
        <w:t xml:space="preserve">5) </w:t>
      </w:r>
      <w:r w:rsidR="00225CD6">
        <w:t xml:space="preserve">in mind: </w:t>
      </w:r>
      <w:r w:rsidR="00225CD6" w:rsidRPr="00225CD6">
        <w:rPr>
          <w:i/>
        </w:rPr>
        <w:t>Murphy v Gooch</w:t>
      </w:r>
      <w:r w:rsidR="00225CD6" w:rsidRPr="00225CD6">
        <w:rPr>
          <w:b/>
        </w:rPr>
        <w:t xml:space="preserve"> </w:t>
      </w:r>
      <w:r w:rsidR="00225CD6" w:rsidRPr="00DB68C7">
        <w:t>[2007] 2 FLR 934</w:t>
      </w:r>
      <w:r w:rsidR="00B1096F">
        <w:t xml:space="preserve"> (although </w:t>
      </w:r>
      <w:r w:rsidR="00F152BA">
        <w:t xml:space="preserve">this did not create an exhaustive regime: </w:t>
      </w:r>
      <w:r w:rsidR="00F152BA" w:rsidRPr="00225CD6">
        <w:rPr>
          <w:rFonts w:eastAsia="Arial Unicode MS"/>
          <w:i/>
          <w:kern w:val="24"/>
        </w:rPr>
        <w:t>Re Barcham</w:t>
      </w:r>
      <w:r w:rsidR="00F152BA">
        <w:rPr>
          <w:rFonts w:eastAsia="Arial Unicode MS"/>
          <w:kern w:val="24"/>
        </w:rPr>
        <w:t xml:space="preserve"> [2009</w:t>
      </w:r>
      <w:r w:rsidR="00F152BA" w:rsidRPr="00B1096F">
        <w:rPr>
          <w:rFonts w:eastAsia="Arial Unicode MS"/>
          <w:kern w:val="24"/>
        </w:rPr>
        <w:t xml:space="preserve">] </w:t>
      </w:r>
      <w:r w:rsidR="00F152BA">
        <w:rPr>
          <w:rFonts w:eastAsia="Arial Unicode MS"/>
          <w:kern w:val="24"/>
        </w:rPr>
        <w:t>1 All ER 145)</w:t>
      </w:r>
      <w:r w:rsidR="00F152BA" w:rsidRPr="00225CD6">
        <w:rPr>
          <w:rFonts w:eastAsia="Arial Unicode MS"/>
          <w:i/>
          <w:kern w:val="24"/>
        </w:rPr>
        <w:t>.</w:t>
      </w:r>
    </w:p>
    <w:p w:rsidR="00225CD6" w:rsidRDefault="00225CD6" w:rsidP="00225CD6">
      <w:pPr>
        <w:pStyle w:val="ListParagraph"/>
        <w:spacing w:after="0"/>
        <w:jc w:val="both"/>
      </w:pPr>
    </w:p>
    <w:p w:rsidR="00CD6F61" w:rsidRPr="00DB68C7" w:rsidRDefault="00CD6F61" w:rsidP="00CD6F61">
      <w:pPr>
        <w:pStyle w:val="ListParagraph"/>
        <w:numPr>
          <w:ilvl w:val="0"/>
          <w:numId w:val="1"/>
        </w:numPr>
        <w:spacing w:after="0"/>
        <w:ind w:hanging="720"/>
        <w:jc w:val="both"/>
      </w:pPr>
      <w:r>
        <w:t>T</w:t>
      </w:r>
      <w:r w:rsidRPr="00DB68C7">
        <w:t>here are few hard rules in equitable accounting. The exercise is</w:t>
      </w:r>
      <w:r>
        <w:t xml:space="preserve"> intensely </w:t>
      </w:r>
      <w:r w:rsidRPr="00DB68C7">
        <w:t xml:space="preserve">‘fact sensitive’, and will depend on the court’s examination of evidence, principally the parties’ intentions. </w:t>
      </w:r>
    </w:p>
    <w:p w:rsidR="00CD6F61" w:rsidRPr="00DB68C7" w:rsidRDefault="00CD6F61" w:rsidP="00CD6F61">
      <w:pPr>
        <w:pStyle w:val="ListParagraph"/>
        <w:spacing w:line="276" w:lineRule="auto"/>
        <w:ind w:left="2160" w:right="353"/>
        <w:jc w:val="both"/>
        <w:rPr>
          <w:sz w:val="21"/>
          <w:szCs w:val="21"/>
        </w:rPr>
      </w:pPr>
      <w:r w:rsidRPr="00DB68C7">
        <w:rPr>
          <w:sz w:val="21"/>
          <w:szCs w:val="21"/>
        </w:rPr>
        <w:t xml:space="preserve">“Moreover, it is in any event risky, in my judgment, to attempt to formulate general principles to be applied in carrying out an equitable accounting exercise in any given case, if for no other reason than that, as the judge put it in the instant case, equitable accounting, is ‘fact sensitive’. What can at least be said is that an exercise of equitable accounting is not to be confused with an enquiry as to the extent of the parties’ respective beneficial interests in the property in question. Questions of equitable accounting only arise once the extent of the parties’ beneficial interests has been determined, since the requirement to account (where it exists) is a reflection of and derives from those beneficial interests.” Jonathan Parker LJ, </w:t>
      </w:r>
      <w:r w:rsidRPr="00DB68C7">
        <w:rPr>
          <w:i/>
          <w:sz w:val="21"/>
          <w:szCs w:val="21"/>
        </w:rPr>
        <w:t>Wilcox v Tait</w:t>
      </w:r>
      <w:r w:rsidRPr="00DB68C7">
        <w:rPr>
          <w:b/>
          <w:sz w:val="21"/>
          <w:szCs w:val="21"/>
        </w:rPr>
        <w:t xml:space="preserve"> </w:t>
      </w:r>
      <w:r w:rsidRPr="00DB68C7">
        <w:rPr>
          <w:sz w:val="21"/>
          <w:szCs w:val="21"/>
        </w:rPr>
        <w:t>[2007] 2 FLR 871 [64]</w:t>
      </w:r>
    </w:p>
    <w:p w:rsidR="00CD6F61" w:rsidRDefault="00CD6F61" w:rsidP="00CD6F61">
      <w:pPr>
        <w:pStyle w:val="ListParagraph"/>
        <w:spacing w:after="0"/>
        <w:ind w:left="680"/>
        <w:jc w:val="both"/>
      </w:pPr>
    </w:p>
    <w:p w:rsidR="00CD6F61" w:rsidRPr="00DB68C7" w:rsidRDefault="00CD6F61" w:rsidP="00CD6F61">
      <w:pPr>
        <w:pStyle w:val="ListParagraph"/>
        <w:numPr>
          <w:ilvl w:val="0"/>
          <w:numId w:val="1"/>
        </w:numPr>
        <w:tabs>
          <w:tab w:val="num" w:pos="709"/>
        </w:tabs>
        <w:spacing w:after="0"/>
        <w:ind w:left="680" w:hanging="680"/>
        <w:jc w:val="both"/>
      </w:pPr>
      <w:r>
        <w:t>I</w:t>
      </w:r>
      <w:r w:rsidRPr="00DB68C7">
        <w:t xml:space="preserve">n the ordinary cohabitation case, </w:t>
      </w:r>
      <w:r>
        <w:t>the court may infer</w:t>
      </w:r>
      <w:r w:rsidRPr="00DB68C7">
        <w:t xml:space="preserve"> that the parties did not intend to account to ea</w:t>
      </w:r>
      <w:r>
        <w:t>ch other whilst living together (so that issues of compensation only arse post-separation). Whether this inference is drawn</w:t>
      </w:r>
      <w:r w:rsidRPr="00DB68C7">
        <w:t xml:space="preserve"> will depend on the facts:</w:t>
      </w:r>
    </w:p>
    <w:p w:rsidR="00CD6F61" w:rsidRDefault="00CD6F61" w:rsidP="00CD6F61">
      <w:pPr>
        <w:pStyle w:val="ListParagraph"/>
        <w:spacing w:line="276" w:lineRule="auto"/>
        <w:ind w:left="2160" w:right="424"/>
        <w:jc w:val="both"/>
        <w:rPr>
          <w:sz w:val="21"/>
          <w:szCs w:val="21"/>
        </w:rPr>
      </w:pPr>
      <w:r w:rsidRPr="00DB68C7">
        <w:rPr>
          <w:sz w:val="21"/>
          <w:szCs w:val="21"/>
        </w:rPr>
        <w:t xml:space="preserve">“That said, I agree with His Honour Judge Behrens in </w:t>
      </w:r>
      <w:r w:rsidRPr="00CD6F61">
        <w:rPr>
          <w:i/>
          <w:iCs/>
          <w:sz w:val="21"/>
          <w:szCs w:val="21"/>
        </w:rPr>
        <w:t>Clarke v Harlowe</w:t>
      </w:r>
      <w:r w:rsidRPr="00DB68C7">
        <w:rPr>
          <w:iCs/>
          <w:sz w:val="21"/>
          <w:szCs w:val="21"/>
        </w:rPr>
        <w:t xml:space="preserve"> </w:t>
      </w:r>
      <w:r w:rsidRPr="00DB68C7">
        <w:rPr>
          <w:sz w:val="21"/>
          <w:szCs w:val="21"/>
        </w:rPr>
        <w:t xml:space="preserve">that in the ordinary cohabitation case it is open to the court to infer from the fact of cohabitation that during the period of cohabitation it was the common intention of the parties that neither should thereafter have to account to the other in respect of expenditure incurred by the other on the property during that period for their joint benefit. Whether the court draws that inference in the given case will, of course, depend on the facts of that case.” Jonathan Parker LJ, </w:t>
      </w:r>
      <w:r w:rsidRPr="00DB68C7">
        <w:rPr>
          <w:i/>
          <w:sz w:val="21"/>
          <w:szCs w:val="21"/>
        </w:rPr>
        <w:t>Wilcox v Tait</w:t>
      </w:r>
      <w:r w:rsidR="001A54F5">
        <w:rPr>
          <w:sz w:val="21"/>
          <w:szCs w:val="21"/>
        </w:rPr>
        <w:t>, at</w:t>
      </w:r>
      <w:r w:rsidRPr="00DB68C7">
        <w:rPr>
          <w:sz w:val="21"/>
          <w:szCs w:val="21"/>
        </w:rPr>
        <w:t xml:space="preserve"> </w:t>
      </w:r>
      <w:r w:rsidR="001A54F5">
        <w:rPr>
          <w:sz w:val="21"/>
          <w:szCs w:val="21"/>
        </w:rPr>
        <w:t>[</w:t>
      </w:r>
      <w:r w:rsidRPr="00DB68C7">
        <w:rPr>
          <w:sz w:val="21"/>
          <w:szCs w:val="21"/>
        </w:rPr>
        <w:t>65</w:t>
      </w:r>
      <w:r w:rsidR="001A54F5">
        <w:rPr>
          <w:sz w:val="21"/>
          <w:szCs w:val="21"/>
        </w:rPr>
        <w:t>]</w:t>
      </w:r>
      <w:r w:rsidRPr="00DB68C7">
        <w:rPr>
          <w:sz w:val="21"/>
          <w:szCs w:val="21"/>
        </w:rPr>
        <w:t xml:space="preserve">, </w:t>
      </w:r>
      <w:r w:rsidR="001A54F5">
        <w:rPr>
          <w:sz w:val="21"/>
          <w:szCs w:val="21"/>
        </w:rPr>
        <w:t>[</w:t>
      </w:r>
      <w:r w:rsidRPr="00DB68C7">
        <w:rPr>
          <w:sz w:val="21"/>
          <w:szCs w:val="21"/>
        </w:rPr>
        <w:t>66</w:t>
      </w:r>
      <w:r w:rsidR="001A54F5">
        <w:rPr>
          <w:sz w:val="21"/>
          <w:szCs w:val="21"/>
        </w:rPr>
        <w:t>]</w:t>
      </w:r>
    </w:p>
    <w:p w:rsidR="001A54F5" w:rsidRPr="00DB68C7" w:rsidRDefault="001A54F5" w:rsidP="00CD6F61">
      <w:pPr>
        <w:pStyle w:val="ListParagraph"/>
        <w:spacing w:line="276" w:lineRule="auto"/>
        <w:ind w:left="2160" w:right="424"/>
        <w:jc w:val="both"/>
        <w:rPr>
          <w:sz w:val="21"/>
          <w:szCs w:val="21"/>
        </w:rPr>
      </w:pPr>
    </w:p>
    <w:p w:rsidR="00225CD6" w:rsidRPr="00225CD6" w:rsidRDefault="00CD6F61" w:rsidP="00225CD6">
      <w:pPr>
        <w:numPr>
          <w:ilvl w:val="0"/>
          <w:numId w:val="1"/>
        </w:numPr>
        <w:tabs>
          <w:tab w:val="num" w:pos="709"/>
        </w:tabs>
        <w:spacing w:after="0"/>
        <w:ind w:left="680" w:hanging="680"/>
        <w:jc w:val="both"/>
        <w:rPr>
          <w:rFonts w:eastAsia="Arial Unicode MS"/>
          <w:kern w:val="24"/>
        </w:rPr>
      </w:pPr>
      <w:r w:rsidRPr="00DB68C7">
        <w:t>Where one party is in breach of specific arrangements to pay for various items, compensatory payments are possible (</w:t>
      </w:r>
      <w:r w:rsidRPr="00DB68C7">
        <w:rPr>
          <w:i/>
        </w:rPr>
        <w:t xml:space="preserve">Young v </w:t>
      </w:r>
      <w:r w:rsidRPr="00DB68C7">
        <w:rPr>
          <w:rFonts w:eastAsia="Arial Unicode MS"/>
          <w:i/>
          <w:kern w:val="24"/>
        </w:rPr>
        <w:t>Laurentani</w:t>
      </w:r>
      <w:r w:rsidRPr="00DB68C7">
        <w:rPr>
          <w:rFonts w:eastAsia="Arial Unicode MS"/>
          <w:kern w:val="24"/>
        </w:rPr>
        <w:t xml:space="preserve"> [2007] 2 FLR 1211)</w:t>
      </w:r>
      <w:r w:rsidRPr="00DB68C7">
        <w:t xml:space="preserve">. </w:t>
      </w:r>
    </w:p>
    <w:p w:rsidR="00225CD6" w:rsidRDefault="00225CD6" w:rsidP="00225CD6">
      <w:pPr>
        <w:spacing w:after="0"/>
        <w:ind w:left="680"/>
        <w:jc w:val="both"/>
        <w:rPr>
          <w:rFonts w:eastAsia="Arial Unicode MS"/>
          <w:kern w:val="24"/>
        </w:rPr>
      </w:pPr>
    </w:p>
    <w:p w:rsidR="00CD6F61" w:rsidRPr="00225CD6" w:rsidRDefault="00225CD6" w:rsidP="00225CD6">
      <w:pPr>
        <w:numPr>
          <w:ilvl w:val="0"/>
          <w:numId w:val="1"/>
        </w:numPr>
        <w:tabs>
          <w:tab w:val="num" w:pos="709"/>
        </w:tabs>
        <w:spacing w:after="0"/>
        <w:ind w:left="680" w:hanging="680"/>
        <w:jc w:val="both"/>
        <w:rPr>
          <w:rFonts w:eastAsia="Arial Unicode MS"/>
          <w:kern w:val="24"/>
        </w:rPr>
      </w:pPr>
      <w:r>
        <w:rPr>
          <w:rFonts w:eastAsia="Arial Unicode MS"/>
          <w:kern w:val="24"/>
        </w:rPr>
        <w:t>However, a</w:t>
      </w:r>
      <w:r w:rsidR="00CD6F61" w:rsidRPr="00225CD6">
        <w:rPr>
          <w:rFonts w:eastAsia="Arial Unicode MS"/>
          <w:kern w:val="24"/>
        </w:rPr>
        <w:t>n account may be refused where disproportionate (</w:t>
      </w:r>
      <w:r w:rsidR="00CD6F61" w:rsidRPr="00225CD6">
        <w:rPr>
          <w:rFonts w:eastAsia="Arial Unicode MS"/>
          <w:i/>
          <w:kern w:val="24"/>
        </w:rPr>
        <w:t>Laskar v Laskar</w:t>
      </w:r>
      <w:r w:rsidR="00CD6F61" w:rsidRPr="00225CD6">
        <w:rPr>
          <w:rFonts w:eastAsia="Arial Unicode MS"/>
          <w:b/>
          <w:kern w:val="24"/>
        </w:rPr>
        <w:t>)</w:t>
      </w:r>
      <w:r w:rsidR="00CD6F61" w:rsidRPr="00225CD6">
        <w:rPr>
          <w:rFonts w:eastAsia="Arial Unicode MS"/>
          <w:kern w:val="24"/>
        </w:rPr>
        <w:t>, and finally, just as there is a different approach in law to non-domestic cases, so in cases involving a party without a statutory right of occupation (e.g. trustee in bankruptcy), Stack does not apply and traditional approach (</w:t>
      </w:r>
      <w:r w:rsidR="00CD6F61" w:rsidRPr="00225CD6">
        <w:rPr>
          <w:rFonts w:eastAsia="Arial Unicode MS"/>
          <w:i/>
          <w:kern w:val="24"/>
        </w:rPr>
        <w:t>Byford v Butler</w:t>
      </w:r>
      <w:r w:rsidR="00CD6F61" w:rsidRPr="00225CD6">
        <w:rPr>
          <w:rFonts w:eastAsia="Arial Unicode MS"/>
          <w:kern w:val="24"/>
        </w:rPr>
        <w:t xml:space="preserve"> etc) will apply</w:t>
      </w:r>
      <w:r w:rsidR="00B1096F">
        <w:rPr>
          <w:rFonts w:eastAsia="Arial Unicode MS"/>
          <w:kern w:val="24"/>
        </w:rPr>
        <w:t>.</w:t>
      </w:r>
    </w:p>
    <w:p w:rsidR="00A1488E" w:rsidRDefault="00A1488E" w:rsidP="00332E49">
      <w:pPr>
        <w:pStyle w:val="ListParagraph"/>
        <w:jc w:val="both"/>
        <w:rPr>
          <w:rFonts w:eastAsia="Arial Unicode MS"/>
          <w:kern w:val="24"/>
        </w:rPr>
      </w:pPr>
    </w:p>
    <w:p w:rsidR="00A1488E" w:rsidRDefault="00A1488E" w:rsidP="00332E49">
      <w:pPr>
        <w:pStyle w:val="ListParagraph"/>
        <w:jc w:val="both"/>
        <w:rPr>
          <w:rFonts w:eastAsia="Arial Unicode MS"/>
          <w:kern w:val="24"/>
        </w:rPr>
      </w:pPr>
    </w:p>
    <w:p w:rsidR="00225CD6" w:rsidRPr="00225CD6" w:rsidRDefault="00575B65" w:rsidP="00225CD6">
      <w:pPr>
        <w:jc w:val="both"/>
        <w:rPr>
          <w:rFonts w:eastAsia="Arial Unicode MS"/>
          <w:i/>
          <w:kern w:val="24"/>
          <w:u w:val="double"/>
        </w:rPr>
      </w:pPr>
      <w:r>
        <w:rPr>
          <w:rFonts w:eastAsia="Arial Unicode MS"/>
          <w:i/>
          <w:kern w:val="24"/>
          <w:u w:val="double"/>
        </w:rPr>
        <w:lastRenderedPageBreak/>
        <w:t>Concluding remarks</w:t>
      </w:r>
    </w:p>
    <w:p w:rsidR="00225CD6" w:rsidRPr="00225CD6" w:rsidRDefault="00225CD6" w:rsidP="00225CD6">
      <w:pPr>
        <w:pStyle w:val="ListParagraph"/>
        <w:numPr>
          <w:ilvl w:val="0"/>
          <w:numId w:val="1"/>
        </w:numPr>
        <w:spacing w:after="0"/>
        <w:ind w:hanging="720"/>
        <w:jc w:val="both"/>
        <w:rPr>
          <w:rFonts w:eastAsia="Arial Unicode MS"/>
          <w:kern w:val="24"/>
        </w:rPr>
      </w:pPr>
      <w:r w:rsidRPr="00225CD6">
        <w:rPr>
          <w:rFonts w:eastAsia="Arial Unicode MS"/>
          <w:kern w:val="24"/>
        </w:rPr>
        <w:t xml:space="preserve">Firstly, </w:t>
      </w:r>
      <w:r w:rsidR="00C33B28">
        <w:rPr>
          <w:rFonts w:eastAsia="Arial Unicode MS"/>
          <w:kern w:val="24"/>
        </w:rPr>
        <w:t>this is an area of law that often turns on whose evidence the court prefers. It is vitally important to take</w:t>
      </w:r>
      <w:r w:rsidRPr="00225CD6">
        <w:rPr>
          <w:rFonts w:eastAsia="Arial Unicode MS"/>
          <w:kern w:val="24"/>
        </w:rPr>
        <w:t xml:space="preserve"> a very clear proof of evidence –as to discussions, possible witnesses, other sources of evidence (letters, diaries, emails) etc. Cohabitees need to establish an interest on the basis of the law of trusts, not appealing to the court’s discretion to achieve fairness:</w:t>
      </w:r>
    </w:p>
    <w:p w:rsidR="00225CD6" w:rsidRPr="00DB68C7" w:rsidRDefault="00225CD6" w:rsidP="00225CD6">
      <w:pPr>
        <w:pStyle w:val="ListParagraph"/>
        <w:spacing w:line="276" w:lineRule="auto"/>
        <w:ind w:left="2160" w:right="282" w:firstLine="5"/>
        <w:jc w:val="both"/>
        <w:rPr>
          <w:rFonts w:eastAsia="Arial Unicode MS"/>
          <w:kern w:val="24"/>
          <w:sz w:val="21"/>
          <w:szCs w:val="21"/>
          <w:u w:val="single"/>
        </w:rPr>
      </w:pPr>
      <w:r w:rsidRPr="00DB68C7">
        <w:rPr>
          <w:color w:val="000000"/>
          <w:sz w:val="21"/>
          <w:szCs w:val="21"/>
        </w:rPr>
        <w:t xml:space="preserve">“…under the present law of England… proprietary rights fall to be governed by principles of law and not by some mix of judicial discretion … subjective views about which party “ought to win” … and “the formless void of individual moral opinion”, Deane J in </w:t>
      </w:r>
      <w:r w:rsidRPr="00DB68C7">
        <w:rPr>
          <w:i/>
          <w:color w:val="000000"/>
          <w:sz w:val="21"/>
          <w:szCs w:val="21"/>
        </w:rPr>
        <w:t>Muschinski v Dodds</w:t>
      </w:r>
      <w:r w:rsidRPr="00DB68C7">
        <w:rPr>
          <w:color w:val="000000"/>
          <w:sz w:val="21"/>
          <w:szCs w:val="21"/>
        </w:rPr>
        <w:t xml:space="preserve"> (1985) 62 ALR 429, cited with approval by Lord Walker in </w:t>
      </w:r>
      <w:r w:rsidRPr="00DB68C7">
        <w:rPr>
          <w:i/>
          <w:color w:val="000000"/>
          <w:sz w:val="21"/>
          <w:szCs w:val="21"/>
        </w:rPr>
        <w:t>Yeoman’s Row Management v Cobbe</w:t>
      </w:r>
      <w:r w:rsidRPr="00DB68C7">
        <w:rPr>
          <w:color w:val="000000"/>
          <w:sz w:val="21"/>
          <w:szCs w:val="21"/>
        </w:rPr>
        <w:t xml:space="preserve"> [2008] UKHL55 at para 46</w:t>
      </w:r>
    </w:p>
    <w:p w:rsidR="00225CD6" w:rsidRPr="00DB68C7" w:rsidRDefault="00225CD6" w:rsidP="00225CD6">
      <w:pPr>
        <w:pStyle w:val="ListParagraph"/>
        <w:ind w:left="1440"/>
        <w:jc w:val="both"/>
        <w:rPr>
          <w:rFonts w:eastAsia="Arial Unicode MS"/>
          <w:kern w:val="24"/>
        </w:rPr>
      </w:pPr>
    </w:p>
    <w:p w:rsidR="00C33B28" w:rsidRDefault="00C33B28" w:rsidP="00225CD6">
      <w:pPr>
        <w:pStyle w:val="ListParagraph"/>
        <w:numPr>
          <w:ilvl w:val="0"/>
          <w:numId w:val="1"/>
        </w:numPr>
        <w:tabs>
          <w:tab w:val="num" w:pos="709"/>
        </w:tabs>
        <w:spacing w:after="0"/>
        <w:ind w:left="680" w:hanging="680"/>
        <w:contextualSpacing w:val="0"/>
        <w:jc w:val="both"/>
        <w:rPr>
          <w:rFonts w:eastAsia="Arial Unicode MS"/>
          <w:kern w:val="24"/>
        </w:rPr>
      </w:pPr>
      <w:r>
        <w:rPr>
          <w:rFonts w:eastAsia="Arial Unicode MS"/>
          <w:kern w:val="24"/>
        </w:rPr>
        <w:t>Secondly, to advise clients appropriately as to the risks of litigation: there is no ‘grey area’ in TOLATA unlike ancillary relief. A claimant who fails to establish an interest in a property loses the case and most likely faces a substantial costs order. Also bear in mind the effect of Part 36 offers on costs;</w:t>
      </w:r>
    </w:p>
    <w:p w:rsidR="00C33B28" w:rsidRDefault="00C33B28" w:rsidP="00C33B28">
      <w:pPr>
        <w:pStyle w:val="ListParagraph"/>
        <w:spacing w:after="0"/>
        <w:ind w:left="680"/>
        <w:contextualSpacing w:val="0"/>
        <w:jc w:val="both"/>
        <w:rPr>
          <w:rFonts w:eastAsia="Arial Unicode MS"/>
          <w:kern w:val="24"/>
        </w:rPr>
      </w:pPr>
      <w:r>
        <w:rPr>
          <w:rFonts w:eastAsia="Arial Unicode MS"/>
          <w:kern w:val="24"/>
        </w:rPr>
        <w:t xml:space="preserve"> </w:t>
      </w:r>
    </w:p>
    <w:p w:rsidR="00225CD6" w:rsidRPr="00DB68C7" w:rsidRDefault="00C33B28" w:rsidP="00225CD6">
      <w:pPr>
        <w:pStyle w:val="ListParagraph"/>
        <w:numPr>
          <w:ilvl w:val="0"/>
          <w:numId w:val="1"/>
        </w:numPr>
        <w:tabs>
          <w:tab w:val="num" w:pos="709"/>
        </w:tabs>
        <w:spacing w:after="0"/>
        <w:ind w:left="680" w:hanging="680"/>
        <w:contextualSpacing w:val="0"/>
        <w:jc w:val="both"/>
        <w:rPr>
          <w:rFonts w:eastAsia="Arial Unicode MS"/>
          <w:kern w:val="24"/>
        </w:rPr>
      </w:pPr>
      <w:r>
        <w:rPr>
          <w:rFonts w:eastAsia="Arial Unicode MS"/>
          <w:kern w:val="24"/>
        </w:rPr>
        <w:t>Thirdly</w:t>
      </w:r>
      <w:r w:rsidR="00225CD6" w:rsidRPr="00DB68C7">
        <w:rPr>
          <w:rFonts w:eastAsia="Arial Unicode MS"/>
          <w:kern w:val="24"/>
        </w:rPr>
        <w:t>, with respect to jointly owned property, check if there is a signed declaration of trust within the Transfer Form (Form TR1 since 1998).</w:t>
      </w:r>
    </w:p>
    <w:p w:rsidR="00225CD6" w:rsidRPr="00DB68C7" w:rsidRDefault="00225CD6" w:rsidP="00225CD6">
      <w:pPr>
        <w:pStyle w:val="ListParagraph"/>
        <w:rPr>
          <w:rFonts w:eastAsia="Arial Unicode MS"/>
          <w:kern w:val="24"/>
        </w:rPr>
      </w:pPr>
    </w:p>
    <w:p w:rsidR="00C33B28" w:rsidRPr="00DB68C7" w:rsidRDefault="00C33B28" w:rsidP="00C33B28">
      <w:pPr>
        <w:pStyle w:val="ListParagraph"/>
        <w:numPr>
          <w:ilvl w:val="0"/>
          <w:numId w:val="1"/>
        </w:numPr>
        <w:tabs>
          <w:tab w:val="num" w:pos="709"/>
        </w:tabs>
        <w:spacing w:after="0"/>
        <w:ind w:left="680" w:hanging="680"/>
        <w:contextualSpacing w:val="0"/>
        <w:jc w:val="both"/>
        <w:rPr>
          <w:rFonts w:eastAsia="Arial Unicode MS"/>
          <w:kern w:val="24"/>
        </w:rPr>
      </w:pPr>
      <w:r w:rsidRPr="00DB68C7">
        <w:rPr>
          <w:rFonts w:eastAsia="Arial Unicode MS"/>
          <w:kern w:val="24"/>
        </w:rPr>
        <w:t>F</w:t>
      </w:r>
      <w:r>
        <w:rPr>
          <w:rFonts w:eastAsia="Arial Unicode MS"/>
          <w:kern w:val="24"/>
        </w:rPr>
        <w:t>ourthly</w:t>
      </w:r>
      <w:r w:rsidRPr="00DB68C7">
        <w:rPr>
          <w:rFonts w:eastAsia="Arial Unicode MS"/>
          <w:kern w:val="24"/>
        </w:rPr>
        <w:t xml:space="preserve">, Part 7 or Part 8? Does the claim is likely to involve a substantial dispute of fact or law: Where it is disputed whether a party has an interest in a property – it is preferable to use Part 7 (i.e. with particulars of claims) – but the claim must be fully and properly pleaded: </w:t>
      </w:r>
    </w:p>
    <w:p w:rsidR="00C33B28" w:rsidRDefault="00C33B28" w:rsidP="00C33B28">
      <w:pPr>
        <w:spacing w:line="276" w:lineRule="auto"/>
        <w:ind w:left="2160" w:right="424"/>
        <w:jc w:val="both"/>
        <w:rPr>
          <w:sz w:val="21"/>
          <w:szCs w:val="21"/>
        </w:rPr>
      </w:pPr>
      <w:bookmarkStart w:id="2" w:name="para20"/>
      <w:r w:rsidRPr="00225CD6">
        <w:rPr>
          <w:sz w:val="21"/>
          <w:szCs w:val="21"/>
        </w:rPr>
        <w:t>“As a last resort I think, Mr Becker sought to rely on a somewhat general principle that the judge is entitled to do justice, as he sees it, between the parties. I have to say, however, that, even in the more relaxed post-</w:t>
      </w:r>
      <w:r w:rsidRPr="00225CD6">
        <w:rPr>
          <w:i/>
          <w:sz w:val="21"/>
          <w:szCs w:val="21"/>
        </w:rPr>
        <w:t xml:space="preserve">Woolf </w:t>
      </w:r>
      <w:r w:rsidRPr="00225CD6">
        <w:rPr>
          <w:sz w:val="21"/>
          <w:szCs w:val="21"/>
        </w:rPr>
        <w:t xml:space="preserve">world, the discipline of pleadings remains an important element of the procedure and an important safeguard for the parties. The defendants were given considerable latitude to reshape their case during the trial. In my view the judge should have stuck to the case as it was pleaded. I well understand his desire in the face of an extraordinarily difficult case to attempt to reach what he saw as a fair result. But in my view he was wrong to go outside the pleaded case.” Carnwath LJ, </w:t>
      </w:r>
      <w:r w:rsidRPr="00225CD6">
        <w:rPr>
          <w:i/>
          <w:sz w:val="21"/>
          <w:szCs w:val="21"/>
        </w:rPr>
        <w:t xml:space="preserve">Uppal v Uppal </w:t>
      </w:r>
      <w:r w:rsidRPr="004E451D">
        <w:rPr>
          <w:sz w:val="21"/>
          <w:szCs w:val="21"/>
        </w:rPr>
        <w:t>[2006] EWCA Civ 1595</w:t>
      </w:r>
      <w:r>
        <w:rPr>
          <w:sz w:val="21"/>
          <w:szCs w:val="21"/>
        </w:rPr>
        <w:t xml:space="preserve"> at [</w:t>
      </w:r>
      <w:r w:rsidRPr="004E451D">
        <w:rPr>
          <w:sz w:val="21"/>
          <w:szCs w:val="21"/>
        </w:rPr>
        <w:t>20</w:t>
      </w:r>
      <w:r>
        <w:rPr>
          <w:sz w:val="21"/>
          <w:szCs w:val="21"/>
        </w:rPr>
        <w:t>]</w:t>
      </w:r>
      <w:r w:rsidRPr="00225CD6">
        <w:rPr>
          <w:sz w:val="21"/>
          <w:szCs w:val="21"/>
        </w:rPr>
        <w:t xml:space="preserve"> </w:t>
      </w:r>
      <w:bookmarkEnd w:id="2"/>
    </w:p>
    <w:p w:rsidR="00C33B28" w:rsidRPr="00225CD6" w:rsidRDefault="00C33B28" w:rsidP="00C33B28">
      <w:pPr>
        <w:spacing w:line="276" w:lineRule="auto"/>
        <w:ind w:left="2160" w:right="424"/>
        <w:jc w:val="both"/>
        <w:rPr>
          <w:b/>
          <w:sz w:val="21"/>
          <w:szCs w:val="21"/>
        </w:rPr>
      </w:pPr>
    </w:p>
    <w:p w:rsidR="00225CD6" w:rsidRPr="00DB68C7" w:rsidRDefault="00C33B28" w:rsidP="00225CD6">
      <w:pPr>
        <w:pStyle w:val="ListParagraph"/>
        <w:numPr>
          <w:ilvl w:val="0"/>
          <w:numId w:val="1"/>
        </w:numPr>
        <w:tabs>
          <w:tab w:val="num" w:pos="709"/>
        </w:tabs>
        <w:spacing w:after="0"/>
        <w:ind w:left="680" w:hanging="680"/>
        <w:contextualSpacing w:val="0"/>
        <w:jc w:val="both"/>
        <w:rPr>
          <w:rFonts w:eastAsia="Arial Unicode MS"/>
          <w:kern w:val="24"/>
        </w:rPr>
      </w:pPr>
      <w:r>
        <w:rPr>
          <w:rFonts w:eastAsia="Arial Unicode MS"/>
          <w:kern w:val="24"/>
        </w:rPr>
        <w:t>Fifthly</w:t>
      </w:r>
      <w:r w:rsidR="00225CD6" w:rsidRPr="00DB68C7">
        <w:rPr>
          <w:rFonts w:eastAsia="Arial Unicode MS"/>
          <w:kern w:val="24"/>
        </w:rPr>
        <w:t xml:space="preserve">, </w:t>
      </w:r>
      <w:r>
        <w:rPr>
          <w:rFonts w:eastAsia="Arial Unicode MS"/>
          <w:kern w:val="24"/>
        </w:rPr>
        <w:t xml:space="preserve">make sure the pleaded case comes within </w:t>
      </w:r>
      <w:r w:rsidR="00225CD6" w:rsidRPr="00DB68C7">
        <w:rPr>
          <w:rFonts w:eastAsia="Arial Unicode MS"/>
          <w:kern w:val="24"/>
        </w:rPr>
        <w:t xml:space="preserve">the court’s jurisdiction. Unless the claimant relies on proprietary estoppel, the court’s powers under TOLATA are </w:t>
      </w:r>
      <w:r w:rsidR="00225CD6" w:rsidRPr="00DB68C7">
        <w:rPr>
          <w:rFonts w:eastAsia="Arial Unicode MS"/>
          <w:kern w:val="24"/>
        </w:rPr>
        <w:lastRenderedPageBreak/>
        <w:t>declaratory as to beneficial share and providing for sale, which may be immediate, deferred (e.g. until a child attains majority) or with an option permitting one party to purchase the other’s interest within a set date</w:t>
      </w:r>
      <w:r w:rsidR="00225CD6" w:rsidRPr="00DB68C7">
        <w:rPr>
          <w:rStyle w:val="FootnoteReference"/>
          <w:rFonts w:eastAsia="Arial Unicode MS"/>
          <w:kern w:val="24"/>
        </w:rPr>
        <w:footnoteReference w:id="20"/>
      </w:r>
      <w:r w:rsidR="00225CD6" w:rsidRPr="00DB68C7">
        <w:rPr>
          <w:rFonts w:eastAsia="Arial Unicode MS"/>
          <w:kern w:val="24"/>
        </w:rPr>
        <w:t xml:space="preserve">. </w:t>
      </w:r>
    </w:p>
    <w:p w:rsidR="00A1488E" w:rsidRDefault="00A1488E" w:rsidP="00332E49">
      <w:pPr>
        <w:pStyle w:val="ListParagraph"/>
        <w:jc w:val="both"/>
      </w:pPr>
    </w:p>
    <w:p w:rsidR="00F152BA" w:rsidRDefault="00F152BA" w:rsidP="00332E49">
      <w:pPr>
        <w:pStyle w:val="ListParagraph"/>
        <w:jc w:val="both"/>
      </w:pPr>
    </w:p>
    <w:p w:rsidR="00F152BA" w:rsidRDefault="00F152BA" w:rsidP="00332E49">
      <w:pPr>
        <w:pStyle w:val="ListParagraph"/>
        <w:jc w:val="both"/>
      </w:pPr>
    </w:p>
    <w:p w:rsidR="00F152BA" w:rsidRDefault="00F152BA" w:rsidP="00332E49">
      <w:pPr>
        <w:pStyle w:val="ListParagraph"/>
        <w:jc w:val="both"/>
      </w:pPr>
    </w:p>
    <w:p w:rsidR="00F152BA" w:rsidRDefault="00F152BA" w:rsidP="00F152BA">
      <w:pPr>
        <w:pStyle w:val="ListParagraph"/>
        <w:jc w:val="right"/>
        <w:rPr>
          <w:b/>
        </w:rPr>
      </w:pPr>
      <w:r>
        <w:rPr>
          <w:rFonts w:cs="Times New Roman"/>
          <w:b/>
        </w:rPr>
        <w:t>©</w:t>
      </w:r>
      <w:r>
        <w:rPr>
          <w:b/>
        </w:rPr>
        <w:t>Alexander Chandler</w:t>
      </w:r>
    </w:p>
    <w:p w:rsidR="00F152BA" w:rsidRDefault="00F152BA" w:rsidP="00F152BA">
      <w:pPr>
        <w:pStyle w:val="ListParagraph"/>
        <w:jc w:val="right"/>
        <w:rPr>
          <w:b/>
        </w:rPr>
      </w:pPr>
      <w:r>
        <w:rPr>
          <w:b/>
        </w:rPr>
        <w:t>1 Garden Court, Temple, London</w:t>
      </w:r>
    </w:p>
    <w:p w:rsidR="00F152BA" w:rsidRPr="00F152BA" w:rsidRDefault="00F152BA" w:rsidP="00F152BA">
      <w:pPr>
        <w:pStyle w:val="ListParagraph"/>
        <w:jc w:val="right"/>
        <w:rPr>
          <w:b/>
        </w:rPr>
      </w:pPr>
      <w:r>
        <w:rPr>
          <w:b/>
        </w:rPr>
        <w:t>chandler@1gc.com; 020 7797 7900</w:t>
      </w:r>
    </w:p>
    <w:p w:rsidR="00F152BA" w:rsidRDefault="00F152BA" w:rsidP="00332E49">
      <w:pPr>
        <w:pStyle w:val="ListParagraph"/>
        <w:jc w:val="both"/>
      </w:pPr>
    </w:p>
    <w:p w:rsidR="00F152BA" w:rsidRPr="00A1488E" w:rsidRDefault="00F152BA" w:rsidP="00332E49">
      <w:pPr>
        <w:pStyle w:val="ListParagraph"/>
        <w:jc w:val="both"/>
      </w:pPr>
    </w:p>
    <w:p w:rsidR="0024650A" w:rsidRPr="00225CD6" w:rsidRDefault="0024650A" w:rsidP="00225CD6">
      <w:pPr>
        <w:jc w:val="both"/>
        <w:rPr>
          <w:i/>
          <w:u w:val="double"/>
        </w:rPr>
      </w:pPr>
      <w:r w:rsidRPr="00225CD6">
        <w:rPr>
          <w:i/>
          <w:u w:val="double"/>
        </w:rPr>
        <w:t>Further reading</w:t>
      </w:r>
    </w:p>
    <w:p w:rsidR="0024650A" w:rsidRPr="00A1488E" w:rsidRDefault="0024650A" w:rsidP="00332E49">
      <w:pPr>
        <w:pStyle w:val="ListParagraph"/>
        <w:jc w:val="both"/>
      </w:pPr>
      <w:r w:rsidRPr="00F152BA">
        <w:rPr>
          <w:i/>
        </w:rPr>
        <w:tab/>
        <w:t>Stack v Dowden</w:t>
      </w:r>
      <w:r w:rsidR="00C33B28">
        <w:t xml:space="preserve"> (HL) </w:t>
      </w:r>
      <w:r w:rsidR="00F152BA">
        <w:t>[2007] 2 AC 432</w:t>
      </w:r>
    </w:p>
    <w:p w:rsidR="00225CD6" w:rsidRDefault="00225CD6" w:rsidP="00225CD6">
      <w:pPr>
        <w:pStyle w:val="ListParagraph"/>
        <w:ind w:left="1440" w:hanging="720"/>
        <w:jc w:val="both"/>
      </w:pPr>
      <w:r w:rsidRPr="00F152BA">
        <w:rPr>
          <w:i/>
        </w:rPr>
        <w:tab/>
        <w:t>Thorner v Majors</w:t>
      </w:r>
      <w:r w:rsidR="00F152BA">
        <w:t xml:space="preserve"> (HL) [2009] 2 FLR 405</w:t>
      </w:r>
      <w:r w:rsidR="0024650A" w:rsidRPr="00A1488E">
        <w:tab/>
      </w:r>
    </w:p>
    <w:p w:rsidR="0024650A" w:rsidRDefault="0024650A" w:rsidP="00225CD6">
      <w:pPr>
        <w:pStyle w:val="ListParagraph"/>
        <w:ind w:left="1440"/>
        <w:jc w:val="both"/>
      </w:pPr>
      <w:r w:rsidRPr="00A1488E">
        <w:t xml:space="preserve">The ‘great trilogy’: </w:t>
      </w:r>
      <w:r w:rsidRPr="00F152BA">
        <w:rPr>
          <w:i/>
        </w:rPr>
        <w:t>Pettitt v Pettitt</w:t>
      </w:r>
      <w:r w:rsidRPr="00A1488E">
        <w:t xml:space="preserve"> [1970] AC 777; </w:t>
      </w:r>
      <w:r w:rsidRPr="00F152BA">
        <w:rPr>
          <w:i/>
        </w:rPr>
        <w:t xml:space="preserve">Gissing </w:t>
      </w:r>
      <w:r w:rsidRPr="00F152BA">
        <w:rPr>
          <w:i/>
        </w:rPr>
        <w:tab/>
        <w:t>v Gissing</w:t>
      </w:r>
      <w:r w:rsidRPr="00A1488E">
        <w:t xml:space="preserve"> [1971[ AC 886 ; </w:t>
      </w:r>
      <w:r w:rsidRPr="00F152BA">
        <w:rPr>
          <w:i/>
        </w:rPr>
        <w:t>Lloyds  Bank v Rosset</w:t>
      </w:r>
      <w:r>
        <w:t xml:space="preserve"> [1991] AC 107</w:t>
      </w:r>
    </w:p>
    <w:p w:rsidR="00F152BA" w:rsidRDefault="00F152BA" w:rsidP="00225CD6">
      <w:pPr>
        <w:pStyle w:val="ListParagraph"/>
        <w:ind w:firstLine="720"/>
        <w:jc w:val="both"/>
      </w:pPr>
      <w:r>
        <w:t>Civil Procedure Rules 1998 (as amended)</w:t>
      </w:r>
    </w:p>
    <w:p w:rsidR="0024650A" w:rsidRPr="00332E49" w:rsidRDefault="0024650A" w:rsidP="00225CD6">
      <w:pPr>
        <w:pStyle w:val="ListParagraph"/>
        <w:ind w:firstLine="720"/>
        <w:jc w:val="both"/>
      </w:pPr>
      <w:r>
        <w:t>Chancery Guide 2009</w:t>
      </w:r>
    </w:p>
    <w:p w:rsidR="00E750EA" w:rsidRDefault="00E750EA" w:rsidP="00E750EA">
      <w:pPr>
        <w:pStyle w:val="ListParagraph"/>
        <w:jc w:val="both"/>
      </w:pPr>
    </w:p>
    <w:sectPr w:rsidR="00E750EA" w:rsidSect="00EA1E02">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B75E3" w:rsidRDefault="001B75E3" w:rsidP="00942C20">
      <w:pPr>
        <w:spacing w:after="0" w:line="240" w:lineRule="auto"/>
      </w:pPr>
      <w:r>
        <w:separator/>
      </w:r>
    </w:p>
  </w:endnote>
  <w:endnote w:type="continuationSeparator" w:id="0">
    <w:p w:rsidR="001B75E3" w:rsidRDefault="001B75E3" w:rsidP="00942C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ACFF"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0827699"/>
      <w:docPartObj>
        <w:docPartGallery w:val="Page Numbers (Bottom of Page)"/>
        <w:docPartUnique/>
      </w:docPartObj>
    </w:sdtPr>
    <w:sdtEndPr/>
    <w:sdtContent>
      <w:p w:rsidR="0094300F" w:rsidRDefault="0094300F">
        <w:pPr>
          <w:pStyle w:val="Footer"/>
        </w:pPr>
        <w:r>
          <w:t xml:space="preserve">Page | </w:t>
        </w:r>
        <w:r w:rsidR="001B75E3">
          <w:fldChar w:fldCharType="begin"/>
        </w:r>
        <w:r w:rsidR="001B75E3">
          <w:instrText xml:space="preserve"> PAGE   \* MERGEFORMAT </w:instrText>
        </w:r>
        <w:r w:rsidR="001B75E3">
          <w:fldChar w:fldCharType="separate"/>
        </w:r>
        <w:r w:rsidR="00C135CA">
          <w:rPr>
            <w:noProof/>
          </w:rPr>
          <w:t>13</w:t>
        </w:r>
        <w:r w:rsidR="001B75E3">
          <w:rPr>
            <w:noProof/>
          </w:rPr>
          <w:fldChar w:fldCharType="end"/>
        </w:r>
      </w:p>
    </w:sdtContent>
  </w:sdt>
  <w:p w:rsidR="0094300F" w:rsidRDefault="0094300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B75E3" w:rsidRDefault="001B75E3" w:rsidP="00942C20">
      <w:pPr>
        <w:spacing w:after="0" w:line="240" w:lineRule="auto"/>
      </w:pPr>
      <w:r>
        <w:separator/>
      </w:r>
    </w:p>
  </w:footnote>
  <w:footnote w:type="continuationSeparator" w:id="0">
    <w:p w:rsidR="001B75E3" w:rsidRDefault="001B75E3" w:rsidP="00942C20">
      <w:pPr>
        <w:spacing w:after="0" w:line="240" w:lineRule="auto"/>
      </w:pPr>
      <w:r>
        <w:continuationSeparator/>
      </w:r>
    </w:p>
  </w:footnote>
  <w:footnote w:id="1">
    <w:p w:rsidR="0094300F" w:rsidRDefault="0094300F">
      <w:pPr>
        <w:pStyle w:val="FootnoteText"/>
      </w:pPr>
      <w:r>
        <w:rPr>
          <w:rStyle w:val="FootnoteReference"/>
        </w:rPr>
        <w:footnoteRef/>
      </w:r>
      <w:r>
        <w:t xml:space="preserve"> British Social Attitudes survey [2008], 51% believed cohabiting couples are protected by ‘common law marriage’</w:t>
      </w:r>
    </w:p>
  </w:footnote>
  <w:footnote w:id="2">
    <w:p w:rsidR="0094300F" w:rsidRPr="00AD4811" w:rsidRDefault="0094300F">
      <w:pPr>
        <w:pStyle w:val="FootnoteText"/>
      </w:pPr>
      <w:r w:rsidRPr="003D16B2">
        <w:rPr>
          <w:rStyle w:val="FootnoteReference"/>
        </w:rPr>
        <w:footnoteRef/>
      </w:r>
      <w:r w:rsidRPr="003D16B2">
        <w:t xml:space="preserve"> Law Commission Report </w:t>
      </w:r>
      <w:r w:rsidRPr="003D16B2">
        <w:rPr>
          <w:rFonts w:eastAsia="Arial Unicode MS"/>
          <w:kern w:val="24"/>
        </w:rPr>
        <w:t xml:space="preserve">307 of 2007 </w:t>
      </w:r>
      <w:r>
        <w:rPr>
          <w:rFonts w:eastAsia="Arial Unicode MS"/>
          <w:kern w:val="24"/>
        </w:rPr>
        <w:t>‘</w:t>
      </w:r>
      <w:r>
        <w:rPr>
          <w:rFonts w:eastAsia="Arial Unicode MS"/>
          <w:i/>
          <w:kern w:val="24"/>
        </w:rPr>
        <w:t>Cohabitation</w:t>
      </w:r>
      <w:r w:rsidRPr="003D16B2">
        <w:rPr>
          <w:rFonts w:eastAsia="Arial Unicode MS"/>
          <w:i/>
          <w:kern w:val="24"/>
        </w:rPr>
        <w:t>: The Financial Consequences of Relationship Breakdown</w:t>
      </w:r>
      <w:r>
        <w:rPr>
          <w:rFonts w:eastAsia="Arial Unicode MS"/>
          <w:i/>
          <w:kern w:val="24"/>
        </w:rPr>
        <w:t>’</w:t>
      </w:r>
      <w:r>
        <w:rPr>
          <w:rFonts w:eastAsia="Arial Unicode MS"/>
          <w:kern w:val="24"/>
        </w:rPr>
        <w:t xml:space="preserve">: see </w:t>
      </w:r>
      <w:r w:rsidRPr="00AD4811">
        <w:rPr>
          <w:rFonts w:eastAsia="Arial Unicode MS"/>
          <w:kern w:val="24"/>
        </w:rPr>
        <w:t>http://www.lawcom.gov.uk/cohabitation.htm</w:t>
      </w:r>
    </w:p>
  </w:footnote>
  <w:footnote w:id="3">
    <w:p w:rsidR="0094300F" w:rsidRDefault="0094300F">
      <w:pPr>
        <w:pStyle w:val="FootnoteText"/>
      </w:pPr>
      <w:r>
        <w:rPr>
          <w:rStyle w:val="FootnoteReference"/>
        </w:rPr>
        <w:footnoteRef/>
      </w:r>
      <w:r>
        <w:t xml:space="preserve"> Family Law (Scotland) Act 2006: see </w:t>
      </w:r>
      <w:hyperlink r:id="rId1" w:history="1">
        <w:r w:rsidRPr="00170D9D">
          <w:rPr>
            <w:rStyle w:val="Hyperlink"/>
          </w:rPr>
          <w:t>http://www.scotland.gov.uk/Publications/2006/04/27135238/1</w:t>
        </w:r>
      </w:hyperlink>
      <w:r>
        <w:t xml:space="preserve"> </w:t>
      </w:r>
    </w:p>
  </w:footnote>
  <w:footnote w:id="4">
    <w:p w:rsidR="0094300F" w:rsidRDefault="0094300F" w:rsidP="00BE5454">
      <w:pPr>
        <w:pStyle w:val="FootnoteText"/>
      </w:pPr>
      <w:r>
        <w:rPr>
          <w:rStyle w:val="FootnoteReference"/>
        </w:rPr>
        <w:footnoteRef/>
      </w:r>
      <w:r>
        <w:t xml:space="preserve"> Bridget Prentice MP, 6.3.08</w:t>
      </w:r>
    </w:p>
  </w:footnote>
  <w:footnote w:id="5">
    <w:p w:rsidR="0094300F" w:rsidRPr="008E7F6A" w:rsidRDefault="0094300F" w:rsidP="00870F4D">
      <w:pPr>
        <w:pStyle w:val="FootnoteText"/>
        <w:spacing w:line="276" w:lineRule="auto"/>
      </w:pPr>
      <w:r w:rsidRPr="008E7F6A">
        <w:rPr>
          <w:rStyle w:val="FootnoteReference"/>
        </w:rPr>
        <w:footnoteRef/>
      </w:r>
      <w:r w:rsidRPr="008E7F6A">
        <w:t xml:space="preserve"> </w:t>
      </w:r>
      <w:r w:rsidRPr="008E7F6A">
        <w:rPr>
          <w:i/>
        </w:rPr>
        <w:t>Paul v Constance</w:t>
      </w:r>
      <w:r w:rsidRPr="008E7F6A">
        <w:t xml:space="preserve"> [1977] 1 All ER 195</w:t>
      </w:r>
    </w:p>
  </w:footnote>
  <w:footnote w:id="6">
    <w:p w:rsidR="0094300F" w:rsidRPr="008E7F6A" w:rsidRDefault="0094300F" w:rsidP="00870F4D">
      <w:pPr>
        <w:pStyle w:val="FootnoteText"/>
        <w:spacing w:line="276" w:lineRule="auto"/>
      </w:pPr>
      <w:r w:rsidRPr="008E7F6A">
        <w:rPr>
          <w:rStyle w:val="FootnoteReference"/>
        </w:rPr>
        <w:footnoteRef/>
      </w:r>
      <w:r w:rsidRPr="008E7F6A">
        <w:t xml:space="preserve"> </w:t>
      </w:r>
      <w:r w:rsidRPr="008E7F6A">
        <w:rPr>
          <w:i/>
        </w:rPr>
        <w:t>Cox v Jones</w:t>
      </w:r>
      <w:r w:rsidRPr="008E7F6A">
        <w:t xml:space="preserve"> [2004] 2 FLR 1010</w:t>
      </w:r>
    </w:p>
  </w:footnote>
  <w:footnote w:id="7">
    <w:p w:rsidR="0094300F" w:rsidRPr="008E7F6A" w:rsidRDefault="0094300F" w:rsidP="00870F4D">
      <w:pPr>
        <w:pStyle w:val="FootnoteText"/>
        <w:spacing w:line="276" w:lineRule="auto"/>
      </w:pPr>
      <w:r w:rsidRPr="008E7F6A">
        <w:rPr>
          <w:rStyle w:val="FootnoteReference"/>
        </w:rPr>
        <w:footnoteRef/>
      </w:r>
      <w:r w:rsidRPr="008E7F6A">
        <w:t xml:space="preserve"> </w:t>
      </w:r>
      <w:r w:rsidRPr="008E7F6A">
        <w:rPr>
          <w:rFonts w:eastAsia="Arial Unicode MS"/>
          <w:i/>
        </w:rPr>
        <w:t>Tribe v Tribe</w:t>
      </w:r>
      <w:r w:rsidRPr="008E7F6A">
        <w:rPr>
          <w:rFonts w:eastAsia="Arial Unicode MS"/>
        </w:rPr>
        <w:t xml:space="preserve"> [1995] 4 All ER 236 </w:t>
      </w:r>
    </w:p>
  </w:footnote>
  <w:footnote w:id="8">
    <w:p w:rsidR="0094300F" w:rsidRPr="002125D2" w:rsidRDefault="0094300F" w:rsidP="001A54F5">
      <w:pPr>
        <w:pStyle w:val="FootnoteText"/>
        <w:rPr>
          <w:i/>
        </w:rPr>
      </w:pPr>
      <w:r w:rsidRPr="00F152BA">
        <w:rPr>
          <w:rStyle w:val="FootnoteReference"/>
        </w:rPr>
        <w:footnoteRef/>
      </w:r>
      <w:r w:rsidRPr="002125D2">
        <w:rPr>
          <w:i/>
        </w:rPr>
        <w:t xml:space="preserve"> Eves v Eves </w:t>
      </w:r>
      <w:r w:rsidRPr="00F152BA">
        <w:t>[1975] 1 WLR 1338</w:t>
      </w:r>
    </w:p>
  </w:footnote>
  <w:footnote w:id="9">
    <w:p w:rsidR="0094300F" w:rsidRPr="002125D2" w:rsidRDefault="0094300F" w:rsidP="001A54F5">
      <w:pPr>
        <w:pStyle w:val="FootnoteText"/>
        <w:rPr>
          <w:i/>
        </w:rPr>
      </w:pPr>
      <w:r w:rsidRPr="00F152BA">
        <w:rPr>
          <w:rStyle w:val="FootnoteReference"/>
        </w:rPr>
        <w:footnoteRef/>
      </w:r>
      <w:r w:rsidRPr="002125D2">
        <w:rPr>
          <w:i/>
        </w:rPr>
        <w:t xml:space="preserve"> Grant v Edwards </w:t>
      </w:r>
      <w:r w:rsidRPr="00F152BA">
        <w:t>[1987] 1 FLR 87 (“a clear inference that there was an understanding… that the plaintiff was to have some sort of proprietary interest in the house”)</w:t>
      </w:r>
      <w:r>
        <w:t>.</w:t>
      </w:r>
    </w:p>
  </w:footnote>
  <w:footnote w:id="10">
    <w:p w:rsidR="0094300F" w:rsidRPr="002125D2" w:rsidRDefault="0094300F" w:rsidP="001A54F5">
      <w:pPr>
        <w:pStyle w:val="FootnoteText"/>
        <w:rPr>
          <w:i/>
        </w:rPr>
      </w:pPr>
      <w:r w:rsidRPr="00F152BA">
        <w:rPr>
          <w:rStyle w:val="FootnoteReference"/>
        </w:rPr>
        <w:footnoteRef/>
      </w:r>
      <w:r w:rsidRPr="002125D2">
        <w:rPr>
          <w:i/>
        </w:rPr>
        <w:t xml:space="preserve"> Heseltine v Heseltine </w:t>
      </w:r>
      <w:r w:rsidRPr="00F152BA">
        <w:t>[1971] 1 All ER 92,</w:t>
      </w:r>
      <w:r w:rsidRPr="002125D2">
        <w:rPr>
          <w:i/>
        </w:rPr>
        <w:t xml:space="preserve"> Hammond v Mitchell </w:t>
      </w:r>
      <w:r w:rsidRPr="00F152BA">
        <w:t>[1991] 1 WLR 1127</w:t>
      </w:r>
    </w:p>
  </w:footnote>
  <w:footnote w:id="11">
    <w:p w:rsidR="0094300F" w:rsidRPr="006B5EB0" w:rsidRDefault="0094300F" w:rsidP="00E750EA">
      <w:pPr>
        <w:pStyle w:val="FootnoteText"/>
        <w:spacing w:line="276" w:lineRule="auto"/>
      </w:pPr>
      <w:r w:rsidRPr="006B5EB0">
        <w:rPr>
          <w:rStyle w:val="FootnoteReference"/>
        </w:rPr>
        <w:footnoteRef/>
      </w:r>
      <w:r w:rsidRPr="006B5EB0">
        <w:t xml:space="preserve"> See Lord Walker, </w:t>
      </w:r>
      <w:r w:rsidRPr="006B5EB0">
        <w:rPr>
          <w:i/>
        </w:rPr>
        <w:t>Stack</w:t>
      </w:r>
      <w:r w:rsidRPr="006B5EB0">
        <w:t>,</w:t>
      </w:r>
      <w:r>
        <w:t xml:space="preserve"> [</w:t>
      </w:r>
      <w:r w:rsidRPr="006B5EB0">
        <w:t>34</w:t>
      </w:r>
      <w:r>
        <w:t>]</w:t>
      </w:r>
    </w:p>
  </w:footnote>
  <w:footnote w:id="12">
    <w:p w:rsidR="0094300F" w:rsidRPr="0024650A" w:rsidRDefault="0094300F">
      <w:pPr>
        <w:pStyle w:val="FootnoteText"/>
        <w:rPr>
          <w:i/>
        </w:rPr>
      </w:pPr>
      <w:r>
        <w:rPr>
          <w:rStyle w:val="FootnoteReference"/>
        </w:rPr>
        <w:footnoteRef/>
      </w:r>
      <w:r>
        <w:t xml:space="preserve"> Lord Justice Etherton presented a paper to the Chancery Bar Association which argued, post </w:t>
      </w:r>
      <w:r>
        <w:rPr>
          <w:i/>
        </w:rPr>
        <w:t>Stack v Dowden</w:t>
      </w:r>
      <w:r>
        <w:t xml:space="preserve">, that detrimental reliance was no longer an essential component to a CICT: </w:t>
      </w:r>
      <w:r>
        <w:rPr>
          <w:i/>
        </w:rPr>
        <w:t>“Constructive Trust and Proprietary Estoppel: The Search for Clarity and Principle”</w:t>
      </w:r>
    </w:p>
  </w:footnote>
  <w:footnote w:id="13">
    <w:p w:rsidR="0094300F" w:rsidRPr="00F67CB7" w:rsidRDefault="0094300F" w:rsidP="00225CD6">
      <w:pPr>
        <w:pStyle w:val="FootnoteText"/>
      </w:pPr>
      <w:r w:rsidRPr="002125D2">
        <w:rPr>
          <w:rStyle w:val="FootnoteReference"/>
          <w:i/>
        </w:rPr>
        <w:footnoteRef/>
      </w:r>
      <w:r w:rsidRPr="002125D2">
        <w:rPr>
          <w:i/>
        </w:rPr>
        <w:t xml:space="preserve"> Wayling v Jones </w:t>
      </w:r>
      <w:r w:rsidRPr="00F67CB7">
        <w:t>[1995] 2 FLR 1029</w:t>
      </w:r>
    </w:p>
  </w:footnote>
  <w:footnote w:id="14">
    <w:p w:rsidR="0094300F" w:rsidRPr="002125D2" w:rsidRDefault="0094300F" w:rsidP="000728B0">
      <w:pPr>
        <w:pStyle w:val="FootnoteText"/>
        <w:rPr>
          <w:i/>
        </w:rPr>
      </w:pPr>
      <w:r w:rsidRPr="00647B40">
        <w:rPr>
          <w:rStyle w:val="FootnoteReference"/>
        </w:rPr>
        <w:footnoteRef/>
      </w:r>
      <w:r w:rsidRPr="00647B40">
        <w:t xml:space="preserve"> Scarman LJ,</w:t>
      </w:r>
      <w:r w:rsidRPr="002125D2">
        <w:rPr>
          <w:i/>
        </w:rPr>
        <w:t xml:space="preserve"> Crabb v Arun D</w:t>
      </w:r>
      <w:r>
        <w:rPr>
          <w:i/>
        </w:rPr>
        <w:t xml:space="preserve">istrict </w:t>
      </w:r>
      <w:r w:rsidRPr="002125D2">
        <w:rPr>
          <w:i/>
        </w:rPr>
        <w:t>C</w:t>
      </w:r>
      <w:r>
        <w:rPr>
          <w:i/>
        </w:rPr>
        <w:t xml:space="preserve">ouncil </w:t>
      </w:r>
      <w:r w:rsidRPr="00F67CB7">
        <w:t>[1975] 3 All ER 865 at 880</w:t>
      </w:r>
    </w:p>
  </w:footnote>
  <w:footnote w:id="15">
    <w:p w:rsidR="0094300F" w:rsidRPr="002125D2" w:rsidRDefault="0094300F" w:rsidP="000728B0">
      <w:pPr>
        <w:pStyle w:val="FootnoteText"/>
        <w:rPr>
          <w:i/>
        </w:rPr>
      </w:pPr>
      <w:r w:rsidRPr="00647B40">
        <w:rPr>
          <w:rStyle w:val="FootnoteReference"/>
        </w:rPr>
        <w:footnoteRef/>
      </w:r>
      <w:r w:rsidRPr="00647B40">
        <w:t xml:space="preserve"> Also see</w:t>
      </w:r>
      <w:r w:rsidRPr="002125D2">
        <w:rPr>
          <w:i/>
        </w:rPr>
        <w:t xml:space="preserve"> Van Laethem v Brooker and Caradoc Estates </w:t>
      </w:r>
      <w:r w:rsidRPr="00647B40">
        <w:t>[2006] 2 FLR 495 at [82]</w:t>
      </w:r>
    </w:p>
  </w:footnote>
  <w:footnote w:id="16">
    <w:p w:rsidR="0094300F" w:rsidRPr="00647B40" w:rsidRDefault="0094300F" w:rsidP="000728B0">
      <w:pPr>
        <w:pStyle w:val="FootnoteText"/>
      </w:pPr>
      <w:r w:rsidRPr="00647B40">
        <w:rPr>
          <w:rStyle w:val="FootnoteReference"/>
        </w:rPr>
        <w:footnoteRef/>
      </w:r>
      <w:r w:rsidRPr="00647B40">
        <w:t xml:space="preserve"> Claimant in </w:t>
      </w:r>
      <w:r w:rsidRPr="00647B40">
        <w:rPr>
          <w:i/>
        </w:rPr>
        <w:t xml:space="preserve">Gillett v Holt </w:t>
      </w:r>
      <w:r w:rsidRPr="00F152BA">
        <w:t xml:space="preserve">[2000] 2 FLR 266 </w:t>
      </w:r>
      <w:r w:rsidRPr="00647B40">
        <w:t>was entitled to the freehold of one property and lump sum of £100,000</w:t>
      </w:r>
    </w:p>
  </w:footnote>
  <w:footnote w:id="17">
    <w:p w:rsidR="0094300F" w:rsidRPr="002125D2" w:rsidRDefault="0094300F" w:rsidP="000728B0">
      <w:pPr>
        <w:pStyle w:val="FootnoteText"/>
        <w:rPr>
          <w:i/>
        </w:rPr>
      </w:pPr>
      <w:r w:rsidRPr="00647B40">
        <w:rPr>
          <w:rStyle w:val="FootnoteReference"/>
        </w:rPr>
        <w:footnoteRef/>
      </w:r>
      <w:r w:rsidRPr="00647B40">
        <w:t xml:space="preserve"> Claimant in</w:t>
      </w:r>
      <w:r w:rsidRPr="002125D2">
        <w:rPr>
          <w:i/>
        </w:rPr>
        <w:t xml:space="preserve"> Jennings v Rice </w:t>
      </w:r>
      <w:r w:rsidRPr="00647B40">
        <w:t>[2003] 1 FCR 501 received £200,000</w:t>
      </w:r>
      <w:r w:rsidRPr="002125D2">
        <w:rPr>
          <w:i/>
        </w:rPr>
        <w:t xml:space="preserve"> </w:t>
      </w:r>
    </w:p>
  </w:footnote>
  <w:footnote w:id="18">
    <w:p w:rsidR="0094300F" w:rsidRPr="002125D2" w:rsidRDefault="0094300F" w:rsidP="000728B0">
      <w:pPr>
        <w:pStyle w:val="FootnoteText"/>
        <w:rPr>
          <w:i/>
        </w:rPr>
      </w:pPr>
      <w:r w:rsidRPr="00647B40">
        <w:rPr>
          <w:rStyle w:val="FootnoteReference"/>
        </w:rPr>
        <w:footnoteRef/>
      </w:r>
      <w:r w:rsidRPr="00647B40">
        <w:t xml:space="preserve"> </w:t>
      </w:r>
      <w:r w:rsidRPr="002125D2">
        <w:rPr>
          <w:i/>
        </w:rPr>
        <w:t xml:space="preserve">Matharu v Marharu </w:t>
      </w:r>
      <w:r w:rsidRPr="00647B40">
        <w:t>[1994] 2 FLR 597</w:t>
      </w:r>
    </w:p>
  </w:footnote>
  <w:footnote w:id="19">
    <w:p w:rsidR="0094300F" w:rsidRPr="002125D2" w:rsidRDefault="0094300F" w:rsidP="000728B0">
      <w:pPr>
        <w:pStyle w:val="FootnoteText"/>
      </w:pPr>
      <w:r w:rsidRPr="002125D2">
        <w:rPr>
          <w:rStyle w:val="FootnoteReference"/>
        </w:rPr>
        <w:footnoteRef/>
      </w:r>
      <w:r w:rsidRPr="002125D2">
        <w:t xml:space="preserve"> </w:t>
      </w:r>
      <w:r w:rsidRPr="007944AA">
        <w:rPr>
          <w:i/>
        </w:rPr>
        <w:t xml:space="preserve">Holman v Howes </w:t>
      </w:r>
      <w:r>
        <w:t>[2008</w:t>
      </w:r>
      <w:r w:rsidRPr="00647B40">
        <w:t>]</w:t>
      </w:r>
      <w:r>
        <w:t xml:space="preserve"> 1 FLR 1217</w:t>
      </w:r>
    </w:p>
  </w:footnote>
  <w:footnote w:id="20">
    <w:p w:rsidR="0094300F" w:rsidRPr="002125D2" w:rsidRDefault="0094300F" w:rsidP="00225CD6">
      <w:pPr>
        <w:pStyle w:val="FootnoteText"/>
        <w:rPr>
          <w:i/>
        </w:rPr>
      </w:pPr>
      <w:r w:rsidRPr="00F152BA">
        <w:rPr>
          <w:rStyle w:val="FootnoteReference"/>
        </w:rPr>
        <w:footnoteRef/>
      </w:r>
      <w:r w:rsidRPr="00F152BA">
        <w:t xml:space="preserve"> E.g. unless a lump sum is paid by a certain date, the property should be sold: see </w:t>
      </w:r>
      <w:r w:rsidRPr="002125D2">
        <w:rPr>
          <w:i/>
        </w:rPr>
        <w:t xml:space="preserve">Drake v Whipp </w:t>
      </w:r>
      <w:r w:rsidRPr="00C33B28">
        <w:t>[1996] 1 FLR 826, 831</w:t>
      </w:r>
      <w:r w:rsidRPr="002125D2">
        <w:rPr>
          <w:i/>
        </w:rPr>
        <w:t xml:space="preserve">, Murphy v Gooch </w:t>
      </w:r>
      <w:r w:rsidRPr="00DB68C7">
        <w:t>[2007] 2 FLR 934</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F06B6"/>
    <w:multiLevelType w:val="hybridMultilevel"/>
    <w:tmpl w:val="22348528"/>
    <w:lvl w:ilvl="0" w:tplc="F200785E">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 w15:restartNumberingAfterBreak="0">
    <w:nsid w:val="04026A9C"/>
    <w:multiLevelType w:val="hybridMultilevel"/>
    <w:tmpl w:val="30161442"/>
    <w:lvl w:ilvl="0" w:tplc="5FA82914">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 w15:restartNumberingAfterBreak="0">
    <w:nsid w:val="074F09C9"/>
    <w:multiLevelType w:val="hybridMultilevel"/>
    <w:tmpl w:val="6D8AAA44"/>
    <w:lvl w:ilvl="0" w:tplc="8BF817DA">
      <w:start w:val="1"/>
      <w:numFmt w:val="lowerRoman"/>
      <w:lvlText w:val="%1)"/>
      <w:lvlJc w:val="left"/>
      <w:pPr>
        <w:ind w:left="2160" w:hanging="720"/>
      </w:pPr>
      <w:rPr>
        <w:rFonts w:hint="default"/>
        <w:color w:val="000000"/>
        <w:sz w:val="22"/>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 w15:restartNumberingAfterBreak="0">
    <w:nsid w:val="1BDA326F"/>
    <w:multiLevelType w:val="multilevel"/>
    <w:tmpl w:val="371CABB8"/>
    <w:lvl w:ilvl="0">
      <w:start w:val="1"/>
      <w:numFmt w:val="lowerRoman"/>
      <w:lvlText w:val="%1)"/>
      <w:lvlJc w:val="left"/>
      <w:pPr>
        <w:tabs>
          <w:tab w:val="num" w:pos="1800"/>
        </w:tabs>
        <w:ind w:left="2120" w:hanging="680"/>
      </w:pPr>
      <w:rPr>
        <w:rFonts w:ascii="Times New Roman" w:eastAsia="Arial Unicode MS" w:hAnsi="Times New Roman" w:cstheme="minorBidi"/>
      </w:rPr>
    </w:lvl>
    <w:lvl w:ilvl="1">
      <w:start w:val="1"/>
      <w:numFmt w:val="lowerRoman"/>
      <w:isLgl/>
      <w:lvlText w:val="(%2)"/>
      <w:lvlJc w:val="left"/>
      <w:pPr>
        <w:tabs>
          <w:tab w:val="num" w:pos="2821"/>
        </w:tabs>
        <w:ind w:left="3141" w:hanging="680"/>
      </w:pPr>
      <w:rPr>
        <w:rFonts w:ascii="Times New Roman" w:eastAsia="Times New Roman" w:hAnsi="Times New Roman" w:cs="Times New Roman" w:hint="default"/>
      </w:rPr>
    </w:lvl>
    <w:lvl w:ilvl="2">
      <w:start w:val="1"/>
      <w:numFmt w:val="decimal"/>
      <w:isLgl/>
      <w:lvlText w:val="%1.%2.%3"/>
      <w:lvlJc w:val="left"/>
      <w:pPr>
        <w:tabs>
          <w:tab w:val="num" w:pos="3842"/>
        </w:tabs>
        <w:ind w:left="4162" w:hanging="680"/>
      </w:pPr>
      <w:rPr>
        <w:rFonts w:hint="default"/>
      </w:rPr>
    </w:lvl>
    <w:lvl w:ilvl="3">
      <w:start w:val="1"/>
      <w:numFmt w:val="decimal"/>
      <w:isLgl/>
      <w:lvlText w:val="%1.%2.%3.%4"/>
      <w:lvlJc w:val="left"/>
      <w:pPr>
        <w:tabs>
          <w:tab w:val="num" w:pos="4863"/>
        </w:tabs>
        <w:ind w:left="5183" w:hanging="680"/>
      </w:pPr>
      <w:rPr>
        <w:rFonts w:hint="default"/>
      </w:rPr>
    </w:lvl>
    <w:lvl w:ilvl="4">
      <w:start w:val="1"/>
      <w:numFmt w:val="decimal"/>
      <w:isLgl/>
      <w:lvlText w:val="%1.%2.%3.%4.%5"/>
      <w:lvlJc w:val="left"/>
      <w:pPr>
        <w:tabs>
          <w:tab w:val="num" w:pos="5884"/>
        </w:tabs>
        <w:ind w:left="6204" w:hanging="680"/>
      </w:pPr>
      <w:rPr>
        <w:rFonts w:hint="default"/>
      </w:rPr>
    </w:lvl>
    <w:lvl w:ilvl="5">
      <w:start w:val="1"/>
      <w:numFmt w:val="decimal"/>
      <w:isLgl/>
      <w:lvlText w:val="%1.%2.%3.%4.%5.%6"/>
      <w:lvlJc w:val="left"/>
      <w:pPr>
        <w:tabs>
          <w:tab w:val="num" w:pos="6905"/>
        </w:tabs>
        <w:ind w:left="7225" w:hanging="680"/>
      </w:pPr>
      <w:rPr>
        <w:rFonts w:hint="default"/>
      </w:rPr>
    </w:lvl>
    <w:lvl w:ilvl="6">
      <w:start w:val="1"/>
      <w:numFmt w:val="decimal"/>
      <w:isLgl/>
      <w:lvlText w:val="%1.%2.%3.%4.%5.%6.%7"/>
      <w:lvlJc w:val="left"/>
      <w:pPr>
        <w:tabs>
          <w:tab w:val="num" w:pos="7926"/>
        </w:tabs>
        <w:ind w:left="8246" w:hanging="680"/>
      </w:pPr>
      <w:rPr>
        <w:rFonts w:hint="default"/>
      </w:rPr>
    </w:lvl>
    <w:lvl w:ilvl="7">
      <w:start w:val="1"/>
      <w:numFmt w:val="decimal"/>
      <w:isLgl/>
      <w:lvlText w:val="%1.%2.%3.%4.%5.%6.%7.%8"/>
      <w:lvlJc w:val="left"/>
      <w:pPr>
        <w:tabs>
          <w:tab w:val="num" w:pos="8947"/>
        </w:tabs>
        <w:ind w:left="9267" w:hanging="680"/>
      </w:pPr>
      <w:rPr>
        <w:rFonts w:hint="default"/>
      </w:rPr>
    </w:lvl>
    <w:lvl w:ilvl="8">
      <w:start w:val="1"/>
      <w:numFmt w:val="decimal"/>
      <w:isLgl/>
      <w:lvlText w:val="%1.%2.%3.%4.%5.%6.%7.%8.%9"/>
      <w:lvlJc w:val="left"/>
      <w:pPr>
        <w:tabs>
          <w:tab w:val="num" w:pos="9968"/>
        </w:tabs>
        <w:ind w:left="10288" w:hanging="680"/>
      </w:pPr>
      <w:rPr>
        <w:rFonts w:hint="default"/>
      </w:rPr>
    </w:lvl>
  </w:abstractNum>
  <w:abstractNum w:abstractNumId="4" w15:restartNumberingAfterBreak="0">
    <w:nsid w:val="2421468E"/>
    <w:multiLevelType w:val="hybridMultilevel"/>
    <w:tmpl w:val="FEC2E03A"/>
    <w:lvl w:ilvl="0" w:tplc="2ED4F2D2">
      <w:start w:val="1"/>
      <w:numFmt w:val="bullet"/>
      <w:lvlText w:val="-"/>
      <w:lvlJc w:val="left"/>
      <w:pPr>
        <w:ind w:left="360" w:hanging="360"/>
      </w:pPr>
      <w:rPr>
        <w:rFonts w:ascii="Times New Roman" w:eastAsiaTheme="minorHAnsi" w:hAnsi="Times New Roman"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B49517D"/>
    <w:multiLevelType w:val="hybridMultilevel"/>
    <w:tmpl w:val="52223392"/>
    <w:lvl w:ilvl="0" w:tplc="3514ACF8">
      <w:start w:val="1"/>
      <w:numFmt w:val="lowerRoman"/>
      <w:lvlText w:val="%1)"/>
      <w:lvlJc w:val="left"/>
      <w:pPr>
        <w:ind w:left="2120" w:hanging="720"/>
      </w:pPr>
      <w:rPr>
        <w:rFonts w:hint="default"/>
      </w:rPr>
    </w:lvl>
    <w:lvl w:ilvl="1" w:tplc="08090019" w:tentative="1">
      <w:start w:val="1"/>
      <w:numFmt w:val="lowerLetter"/>
      <w:lvlText w:val="%2."/>
      <w:lvlJc w:val="left"/>
      <w:pPr>
        <w:ind w:left="2480" w:hanging="360"/>
      </w:pPr>
    </w:lvl>
    <w:lvl w:ilvl="2" w:tplc="0809001B" w:tentative="1">
      <w:start w:val="1"/>
      <w:numFmt w:val="lowerRoman"/>
      <w:lvlText w:val="%3."/>
      <w:lvlJc w:val="right"/>
      <w:pPr>
        <w:ind w:left="3200" w:hanging="180"/>
      </w:pPr>
    </w:lvl>
    <w:lvl w:ilvl="3" w:tplc="0809000F" w:tentative="1">
      <w:start w:val="1"/>
      <w:numFmt w:val="decimal"/>
      <w:lvlText w:val="%4."/>
      <w:lvlJc w:val="left"/>
      <w:pPr>
        <w:ind w:left="3920" w:hanging="360"/>
      </w:pPr>
    </w:lvl>
    <w:lvl w:ilvl="4" w:tplc="08090019" w:tentative="1">
      <w:start w:val="1"/>
      <w:numFmt w:val="lowerLetter"/>
      <w:lvlText w:val="%5."/>
      <w:lvlJc w:val="left"/>
      <w:pPr>
        <w:ind w:left="4640" w:hanging="360"/>
      </w:pPr>
    </w:lvl>
    <w:lvl w:ilvl="5" w:tplc="0809001B" w:tentative="1">
      <w:start w:val="1"/>
      <w:numFmt w:val="lowerRoman"/>
      <w:lvlText w:val="%6."/>
      <w:lvlJc w:val="right"/>
      <w:pPr>
        <w:ind w:left="5360" w:hanging="180"/>
      </w:pPr>
    </w:lvl>
    <w:lvl w:ilvl="6" w:tplc="0809000F" w:tentative="1">
      <w:start w:val="1"/>
      <w:numFmt w:val="decimal"/>
      <w:lvlText w:val="%7."/>
      <w:lvlJc w:val="left"/>
      <w:pPr>
        <w:ind w:left="6080" w:hanging="360"/>
      </w:pPr>
    </w:lvl>
    <w:lvl w:ilvl="7" w:tplc="08090019" w:tentative="1">
      <w:start w:val="1"/>
      <w:numFmt w:val="lowerLetter"/>
      <w:lvlText w:val="%8."/>
      <w:lvlJc w:val="left"/>
      <w:pPr>
        <w:ind w:left="6800" w:hanging="360"/>
      </w:pPr>
    </w:lvl>
    <w:lvl w:ilvl="8" w:tplc="0809001B" w:tentative="1">
      <w:start w:val="1"/>
      <w:numFmt w:val="lowerRoman"/>
      <w:lvlText w:val="%9."/>
      <w:lvlJc w:val="right"/>
      <w:pPr>
        <w:ind w:left="7520" w:hanging="180"/>
      </w:pPr>
    </w:lvl>
  </w:abstractNum>
  <w:abstractNum w:abstractNumId="6" w15:restartNumberingAfterBreak="0">
    <w:nsid w:val="385312F7"/>
    <w:multiLevelType w:val="hybridMultilevel"/>
    <w:tmpl w:val="DA405A08"/>
    <w:lvl w:ilvl="0" w:tplc="098A31FC">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7" w15:restartNumberingAfterBreak="0">
    <w:nsid w:val="42A56D31"/>
    <w:multiLevelType w:val="hybridMultilevel"/>
    <w:tmpl w:val="4620D02A"/>
    <w:lvl w:ilvl="0" w:tplc="D2BAD934">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8" w15:restartNumberingAfterBreak="0">
    <w:nsid w:val="49F211B1"/>
    <w:multiLevelType w:val="hybridMultilevel"/>
    <w:tmpl w:val="E60A971C"/>
    <w:lvl w:ilvl="0" w:tplc="38F465AA">
      <w:start w:val="1"/>
      <w:numFmt w:val="bullet"/>
      <w:lvlRestart w:val="0"/>
      <w:lvlText w:val=""/>
      <w:lvlJc w:val="left"/>
      <w:pPr>
        <w:tabs>
          <w:tab w:val="num" w:pos="1117"/>
        </w:tabs>
        <w:ind w:left="1117" w:hanging="397"/>
      </w:pPr>
      <w:rPr>
        <w:rFonts w:ascii="Symbol" w:hAnsi="Symbol" w:hint="default"/>
        <w:sz w:val="14"/>
        <w:szCs w:val="14"/>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9" w15:restartNumberingAfterBreak="0">
    <w:nsid w:val="4EC641D8"/>
    <w:multiLevelType w:val="hybridMultilevel"/>
    <w:tmpl w:val="E73C65D4"/>
    <w:lvl w:ilvl="0" w:tplc="3DE26FF8">
      <w:start w:val="1"/>
      <w:numFmt w:val="lowerLetter"/>
      <w:lvlText w:val="%1)"/>
      <w:lvlJc w:val="left"/>
      <w:pPr>
        <w:ind w:left="3240" w:hanging="360"/>
      </w:pPr>
      <w:rPr>
        <w:rFonts w:hint="default"/>
      </w:rPr>
    </w:lvl>
    <w:lvl w:ilvl="1" w:tplc="08090019" w:tentative="1">
      <w:start w:val="1"/>
      <w:numFmt w:val="lowerLetter"/>
      <w:lvlText w:val="%2."/>
      <w:lvlJc w:val="left"/>
      <w:pPr>
        <w:ind w:left="3960" w:hanging="360"/>
      </w:pPr>
    </w:lvl>
    <w:lvl w:ilvl="2" w:tplc="0809001B" w:tentative="1">
      <w:start w:val="1"/>
      <w:numFmt w:val="lowerRoman"/>
      <w:lvlText w:val="%3."/>
      <w:lvlJc w:val="right"/>
      <w:pPr>
        <w:ind w:left="4680" w:hanging="180"/>
      </w:pPr>
    </w:lvl>
    <w:lvl w:ilvl="3" w:tplc="0809000F" w:tentative="1">
      <w:start w:val="1"/>
      <w:numFmt w:val="decimal"/>
      <w:lvlText w:val="%4."/>
      <w:lvlJc w:val="left"/>
      <w:pPr>
        <w:ind w:left="5400" w:hanging="360"/>
      </w:pPr>
    </w:lvl>
    <w:lvl w:ilvl="4" w:tplc="08090019" w:tentative="1">
      <w:start w:val="1"/>
      <w:numFmt w:val="lowerLetter"/>
      <w:lvlText w:val="%5."/>
      <w:lvlJc w:val="left"/>
      <w:pPr>
        <w:ind w:left="6120" w:hanging="360"/>
      </w:pPr>
    </w:lvl>
    <w:lvl w:ilvl="5" w:tplc="0809001B" w:tentative="1">
      <w:start w:val="1"/>
      <w:numFmt w:val="lowerRoman"/>
      <w:lvlText w:val="%6."/>
      <w:lvlJc w:val="right"/>
      <w:pPr>
        <w:ind w:left="6840" w:hanging="180"/>
      </w:pPr>
    </w:lvl>
    <w:lvl w:ilvl="6" w:tplc="0809000F" w:tentative="1">
      <w:start w:val="1"/>
      <w:numFmt w:val="decimal"/>
      <w:lvlText w:val="%7."/>
      <w:lvlJc w:val="left"/>
      <w:pPr>
        <w:ind w:left="7560" w:hanging="360"/>
      </w:pPr>
    </w:lvl>
    <w:lvl w:ilvl="7" w:tplc="08090019" w:tentative="1">
      <w:start w:val="1"/>
      <w:numFmt w:val="lowerLetter"/>
      <w:lvlText w:val="%8."/>
      <w:lvlJc w:val="left"/>
      <w:pPr>
        <w:ind w:left="8280" w:hanging="360"/>
      </w:pPr>
    </w:lvl>
    <w:lvl w:ilvl="8" w:tplc="0809001B" w:tentative="1">
      <w:start w:val="1"/>
      <w:numFmt w:val="lowerRoman"/>
      <w:lvlText w:val="%9."/>
      <w:lvlJc w:val="right"/>
      <w:pPr>
        <w:ind w:left="9000" w:hanging="180"/>
      </w:pPr>
    </w:lvl>
  </w:abstractNum>
  <w:abstractNum w:abstractNumId="10" w15:restartNumberingAfterBreak="0">
    <w:nsid w:val="53867C07"/>
    <w:multiLevelType w:val="hybridMultilevel"/>
    <w:tmpl w:val="133EA8AA"/>
    <w:lvl w:ilvl="0" w:tplc="4CA86278">
      <w:start w:val="1"/>
      <w:numFmt w:val="lowerLetter"/>
      <w:lvlText w:val="(%1)"/>
      <w:lvlJc w:val="left"/>
      <w:pPr>
        <w:ind w:left="3240" w:hanging="360"/>
      </w:pPr>
      <w:rPr>
        <w:rFonts w:hint="default"/>
      </w:rPr>
    </w:lvl>
    <w:lvl w:ilvl="1" w:tplc="08090019" w:tentative="1">
      <w:start w:val="1"/>
      <w:numFmt w:val="lowerLetter"/>
      <w:lvlText w:val="%2."/>
      <w:lvlJc w:val="left"/>
      <w:pPr>
        <w:ind w:left="3960" w:hanging="360"/>
      </w:pPr>
    </w:lvl>
    <w:lvl w:ilvl="2" w:tplc="0809001B" w:tentative="1">
      <w:start w:val="1"/>
      <w:numFmt w:val="lowerRoman"/>
      <w:lvlText w:val="%3."/>
      <w:lvlJc w:val="right"/>
      <w:pPr>
        <w:ind w:left="4680" w:hanging="180"/>
      </w:pPr>
    </w:lvl>
    <w:lvl w:ilvl="3" w:tplc="0809000F" w:tentative="1">
      <w:start w:val="1"/>
      <w:numFmt w:val="decimal"/>
      <w:lvlText w:val="%4."/>
      <w:lvlJc w:val="left"/>
      <w:pPr>
        <w:ind w:left="5400" w:hanging="360"/>
      </w:pPr>
    </w:lvl>
    <w:lvl w:ilvl="4" w:tplc="08090019" w:tentative="1">
      <w:start w:val="1"/>
      <w:numFmt w:val="lowerLetter"/>
      <w:lvlText w:val="%5."/>
      <w:lvlJc w:val="left"/>
      <w:pPr>
        <w:ind w:left="6120" w:hanging="360"/>
      </w:pPr>
    </w:lvl>
    <w:lvl w:ilvl="5" w:tplc="0809001B" w:tentative="1">
      <w:start w:val="1"/>
      <w:numFmt w:val="lowerRoman"/>
      <w:lvlText w:val="%6."/>
      <w:lvlJc w:val="right"/>
      <w:pPr>
        <w:ind w:left="6840" w:hanging="180"/>
      </w:pPr>
    </w:lvl>
    <w:lvl w:ilvl="6" w:tplc="0809000F" w:tentative="1">
      <w:start w:val="1"/>
      <w:numFmt w:val="decimal"/>
      <w:lvlText w:val="%7."/>
      <w:lvlJc w:val="left"/>
      <w:pPr>
        <w:ind w:left="7560" w:hanging="360"/>
      </w:pPr>
    </w:lvl>
    <w:lvl w:ilvl="7" w:tplc="08090019" w:tentative="1">
      <w:start w:val="1"/>
      <w:numFmt w:val="lowerLetter"/>
      <w:lvlText w:val="%8."/>
      <w:lvlJc w:val="left"/>
      <w:pPr>
        <w:ind w:left="8280" w:hanging="360"/>
      </w:pPr>
    </w:lvl>
    <w:lvl w:ilvl="8" w:tplc="0809001B" w:tentative="1">
      <w:start w:val="1"/>
      <w:numFmt w:val="lowerRoman"/>
      <w:lvlText w:val="%9."/>
      <w:lvlJc w:val="right"/>
      <w:pPr>
        <w:ind w:left="9000" w:hanging="180"/>
      </w:pPr>
    </w:lvl>
  </w:abstractNum>
  <w:abstractNum w:abstractNumId="11" w15:restartNumberingAfterBreak="0">
    <w:nsid w:val="66866DA3"/>
    <w:multiLevelType w:val="hybridMultilevel"/>
    <w:tmpl w:val="3712001E"/>
    <w:lvl w:ilvl="0" w:tplc="AB7AFA8A">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2" w15:restartNumberingAfterBreak="0">
    <w:nsid w:val="6DC30F90"/>
    <w:multiLevelType w:val="hybridMultilevel"/>
    <w:tmpl w:val="BD62136E"/>
    <w:lvl w:ilvl="0" w:tplc="D6981504">
      <w:start w:val="1"/>
      <w:numFmt w:val="lowerRoman"/>
      <w:lvlText w:val="%1)"/>
      <w:lvlJc w:val="left"/>
      <w:pPr>
        <w:ind w:left="2160" w:hanging="720"/>
      </w:pPr>
      <w:rPr>
        <w:rFonts w:ascii="Times New Roman" w:eastAsia="Arial Unicode MS" w:hAnsi="Times New Roman" w:cs="Times New Roman"/>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3" w15:restartNumberingAfterBreak="0">
    <w:nsid w:val="6ED23BB8"/>
    <w:multiLevelType w:val="hybridMultilevel"/>
    <w:tmpl w:val="7CEE2196"/>
    <w:lvl w:ilvl="0" w:tplc="38F465AA">
      <w:start w:val="1"/>
      <w:numFmt w:val="bullet"/>
      <w:lvlRestart w:val="0"/>
      <w:lvlText w:val=""/>
      <w:lvlJc w:val="left"/>
      <w:pPr>
        <w:tabs>
          <w:tab w:val="num" w:pos="1117"/>
        </w:tabs>
        <w:ind w:left="1117" w:hanging="397"/>
      </w:pPr>
      <w:rPr>
        <w:rFonts w:ascii="Symbol" w:hAnsi="Symbol" w:hint="default"/>
        <w:sz w:val="14"/>
        <w:szCs w:val="14"/>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14" w15:restartNumberingAfterBreak="0">
    <w:nsid w:val="747752A9"/>
    <w:multiLevelType w:val="hybridMultilevel"/>
    <w:tmpl w:val="62C6D6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6555A99"/>
    <w:multiLevelType w:val="hybridMultilevel"/>
    <w:tmpl w:val="4426C1E8"/>
    <w:lvl w:ilvl="0" w:tplc="212271FC">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6" w15:restartNumberingAfterBreak="0">
    <w:nsid w:val="77D8757D"/>
    <w:multiLevelType w:val="hybridMultilevel"/>
    <w:tmpl w:val="A2CE2DE0"/>
    <w:lvl w:ilvl="0" w:tplc="AE1E201E">
      <w:start w:val="1"/>
      <w:numFmt w:val="lowerLetter"/>
      <w:lvlText w:val="%1)"/>
      <w:lvlJc w:val="left"/>
      <w:pPr>
        <w:ind w:left="2520" w:hanging="360"/>
      </w:pPr>
      <w:rPr>
        <w:rFonts w:hint="default"/>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17" w15:restartNumberingAfterBreak="0">
    <w:nsid w:val="788551DB"/>
    <w:multiLevelType w:val="hybridMultilevel"/>
    <w:tmpl w:val="DE76F272"/>
    <w:lvl w:ilvl="0" w:tplc="840AF03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4"/>
  </w:num>
  <w:num w:numId="2">
    <w:abstractNumId w:val="17"/>
  </w:num>
  <w:num w:numId="3">
    <w:abstractNumId w:val="11"/>
  </w:num>
  <w:num w:numId="4">
    <w:abstractNumId w:val="6"/>
  </w:num>
  <w:num w:numId="5">
    <w:abstractNumId w:val="13"/>
  </w:num>
  <w:num w:numId="6">
    <w:abstractNumId w:val="0"/>
  </w:num>
  <w:num w:numId="7">
    <w:abstractNumId w:val="3"/>
  </w:num>
  <w:num w:numId="8">
    <w:abstractNumId w:val="16"/>
  </w:num>
  <w:num w:numId="9">
    <w:abstractNumId w:val="1"/>
  </w:num>
  <w:num w:numId="10">
    <w:abstractNumId w:val="5"/>
  </w:num>
  <w:num w:numId="11">
    <w:abstractNumId w:val="15"/>
  </w:num>
  <w:num w:numId="12">
    <w:abstractNumId w:val="7"/>
  </w:num>
  <w:num w:numId="13">
    <w:abstractNumId w:val="4"/>
  </w:num>
  <w:num w:numId="14">
    <w:abstractNumId w:val="8"/>
  </w:num>
  <w:num w:numId="15">
    <w:abstractNumId w:val="2"/>
  </w:num>
  <w:num w:numId="16">
    <w:abstractNumId w:val="12"/>
  </w:num>
  <w:num w:numId="17">
    <w:abstractNumId w:val="10"/>
  </w:num>
  <w:num w:numId="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1"/>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27F0"/>
    <w:rsid w:val="00022DD6"/>
    <w:rsid w:val="00043A6D"/>
    <w:rsid w:val="000728B0"/>
    <w:rsid w:val="000B2E43"/>
    <w:rsid w:val="000D4BD5"/>
    <w:rsid w:val="001A54F5"/>
    <w:rsid w:val="001B75E3"/>
    <w:rsid w:val="001E2B2E"/>
    <w:rsid w:val="00225CD6"/>
    <w:rsid w:val="00231B27"/>
    <w:rsid w:val="0024650A"/>
    <w:rsid w:val="00320044"/>
    <w:rsid w:val="00321CD3"/>
    <w:rsid w:val="00332E49"/>
    <w:rsid w:val="003B0CBB"/>
    <w:rsid w:val="003D16B2"/>
    <w:rsid w:val="004B5C80"/>
    <w:rsid w:val="004E451D"/>
    <w:rsid w:val="005007C9"/>
    <w:rsid w:val="00502236"/>
    <w:rsid w:val="005227F0"/>
    <w:rsid w:val="00533580"/>
    <w:rsid w:val="00575B65"/>
    <w:rsid w:val="00647B40"/>
    <w:rsid w:val="00647F21"/>
    <w:rsid w:val="006A2979"/>
    <w:rsid w:val="00736BE7"/>
    <w:rsid w:val="007F16AE"/>
    <w:rsid w:val="00842C90"/>
    <w:rsid w:val="00852DED"/>
    <w:rsid w:val="00870F4D"/>
    <w:rsid w:val="008761E9"/>
    <w:rsid w:val="008E7F6A"/>
    <w:rsid w:val="00942C20"/>
    <w:rsid w:val="0094300F"/>
    <w:rsid w:val="00956469"/>
    <w:rsid w:val="00963637"/>
    <w:rsid w:val="00A042D7"/>
    <w:rsid w:val="00A1488E"/>
    <w:rsid w:val="00AA6AE5"/>
    <w:rsid w:val="00AB08FC"/>
    <w:rsid w:val="00AC1DD6"/>
    <w:rsid w:val="00AD4811"/>
    <w:rsid w:val="00AF5574"/>
    <w:rsid w:val="00B1096F"/>
    <w:rsid w:val="00B56D8A"/>
    <w:rsid w:val="00B72840"/>
    <w:rsid w:val="00B90C43"/>
    <w:rsid w:val="00BE5454"/>
    <w:rsid w:val="00C135CA"/>
    <w:rsid w:val="00C33B28"/>
    <w:rsid w:val="00C72553"/>
    <w:rsid w:val="00C95EAA"/>
    <w:rsid w:val="00CC38EF"/>
    <w:rsid w:val="00CD6F61"/>
    <w:rsid w:val="00D2070D"/>
    <w:rsid w:val="00D23B52"/>
    <w:rsid w:val="00D4624B"/>
    <w:rsid w:val="00DD573E"/>
    <w:rsid w:val="00DE3561"/>
    <w:rsid w:val="00E56A37"/>
    <w:rsid w:val="00E750EA"/>
    <w:rsid w:val="00EA1E02"/>
    <w:rsid w:val="00EE7E14"/>
    <w:rsid w:val="00F119C6"/>
    <w:rsid w:val="00F152BA"/>
    <w:rsid w:val="00F55CCA"/>
    <w:rsid w:val="00F67CB7"/>
    <w:rsid w:val="00FD1F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4BBF4D7-1233-CA4A-82C7-EB1BCA34D3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2C90"/>
    <w:pPr>
      <w:spacing w:line="360" w:lineRule="auto"/>
    </w:pPr>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47F21"/>
    <w:pPr>
      <w:ind w:left="720"/>
      <w:contextualSpacing/>
    </w:pPr>
  </w:style>
  <w:style w:type="table" w:styleId="TableGrid">
    <w:name w:val="Table Grid"/>
    <w:basedOn w:val="TableNormal"/>
    <w:uiPriority w:val="59"/>
    <w:rsid w:val="00647F2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FootnoteText">
    <w:name w:val="footnote text"/>
    <w:basedOn w:val="Normal"/>
    <w:link w:val="FootnoteTextChar"/>
    <w:semiHidden/>
    <w:unhideWhenUsed/>
    <w:rsid w:val="00942C20"/>
    <w:pPr>
      <w:spacing w:after="0" w:line="240" w:lineRule="auto"/>
    </w:pPr>
    <w:rPr>
      <w:sz w:val="20"/>
      <w:szCs w:val="20"/>
    </w:rPr>
  </w:style>
  <w:style w:type="character" w:customStyle="1" w:styleId="FootnoteTextChar">
    <w:name w:val="Footnote Text Char"/>
    <w:basedOn w:val="DefaultParagraphFont"/>
    <w:link w:val="FootnoteText"/>
    <w:semiHidden/>
    <w:rsid w:val="00942C20"/>
    <w:rPr>
      <w:rFonts w:ascii="Times New Roman" w:hAnsi="Times New Roman"/>
      <w:sz w:val="20"/>
      <w:szCs w:val="20"/>
    </w:rPr>
  </w:style>
  <w:style w:type="character" w:styleId="FootnoteReference">
    <w:name w:val="footnote reference"/>
    <w:basedOn w:val="DefaultParagraphFont"/>
    <w:semiHidden/>
    <w:unhideWhenUsed/>
    <w:rsid w:val="00942C20"/>
    <w:rPr>
      <w:vertAlign w:val="superscript"/>
    </w:rPr>
  </w:style>
  <w:style w:type="paragraph" w:styleId="Header">
    <w:name w:val="header"/>
    <w:basedOn w:val="Normal"/>
    <w:link w:val="HeaderChar"/>
    <w:uiPriority w:val="99"/>
    <w:semiHidden/>
    <w:unhideWhenUsed/>
    <w:rsid w:val="00F67CB7"/>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F67CB7"/>
    <w:rPr>
      <w:rFonts w:ascii="Times New Roman" w:hAnsi="Times New Roman"/>
      <w:sz w:val="24"/>
      <w:szCs w:val="24"/>
    </w:rPr>
  </w:style>
  <w:style w:type="paragraph" w:styleId="Footer">
    <w:name w:val="footer"/>
    <w:basedOn w:val="Normal"/>
    <w:link w:val="FooterChar"/>
    <w:uiPriority w:val="99"/>
    <w:unhideWhenUsed/>
    <w:rsid w:val="00F67CB7"/>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7CB7"/>
    <w:rPr>
      <w:rFonts w:ascii="Times New Roman" w:hAnsi="Times New Roman"/>
      <w:sz w:val="24"/>
      <w:szCs w:val="24"/>
    </w:rPr>
  </w:style>
  <w:style w:type="character" w:customStyle="1" w:styleId="legdslegrhslegp3text">
    <w:name w:val="legds legrhs legp3text"/>
    <w:basedOn w:val="DefaultParagraphFont"/>
    <w:rsid w:val="00225CD6"/>
  </w:style>
  <w:style w:type="character" w:customStyle="1" w:styleId="italic1">
    <w:name w:val="italic1"/>
    <w:basedOn w:val="DefaultParagraphFont"/>
    <w:rsid w:val="00AC1DD6"/>
    <w:rPr>
      <w:i/>
      <w:iCs/>
    </w:rPr>
  </w:style>
  <w:style w:type="character" w:styleId="Hyperlink">
    <w:name w:val="Hyperlink"/>
    <w:basedOn w:val="DefaultParagraphFont"/>
    <w:uiPriority w:val="99"/>
    <w:unhideWhenUsed/>
    <w:rsid w:val="00AD481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09941062">
      <w:bodyDiv w:val="1"/>
      <w:marLeft w:val="0"/>
      <w:marRight w:val="0"/>
      <w:marTop w:val="0"/>
      <w:marBottom w:val="0"/>
      <w:divBdr>
        <w:top w:val="none" w:sz="0" w:space="0" w:color="auto"/>
        <w:left w:val="none" w:sz="0" w:space="0" w:color="auto"/>
        <w:bottom w:val="none" w:sz="0" w:space="0" w:color="auto"/>
        <w:right w:val="none" w:sz="0" w:space="0" w:color="auto"/>
      </w:divBdr>
      <w:divsChild>
        <w:div w:id="1933082138">
          <w:marLeft w:val="0"/>
          <w:marRight w:val="0"/>
          <w:marTop w:val="0"/>
          <w:marBottom w:val="0"/>
          <w:divBdr>
            <w:top w:val="none" w:sz="0" w:space="0" w:color="auto"/>
            <w:left w:val="none" w:sz="0" w:space="0" w:color="auto"/>
            <w:bottom w:val="none" w:sz="0" w:space="0" w:color="auto"/>
            <w:right w:val="none" w:sz="0" w:space="0" w:color="auto"/>
          </w:divBdr>
        </w:div>
        <w:div w:id="1281381776">
          <w:marLeft w:val="0"/>
          <w:marRight w:val="0"/>
          <w:marTop w:val="0"/>
          <w:marBottom w:val="0"/>
          <w:divBdr>
            <w:top w:val="none" w:sz="0" w:space="0" w:color="auto"/>
            <w:left w:val="none" w:sz="0" w:space="0" w:color="auto"/>
            <w:bottom w:val="none" w:sz="0" w:space="0" w:color="auto"/>
            <w:right w:val="none" w:sz="0" w:space="0" w:color="auto"/>
          </w:divBdr>
        </w:div>
        <w:div w:id="150408577">
          <w:marLeft w:val="0"/>
          <w:marRight w:val="0"/>
          <w:marTop w:val="0"/>
          <w:marBottom w:val="0"/>
          <w:divBdr>
            <w:top w:val="none" w:sz="0" w:space="0" w:color="auto"/>
            <w:left w:val="none" w:sz="0" w:space="0" w:color="auto"/>
            <w:bottom w:val="none" w:sz="0" w:space="0" w:color="auto"/>
            <w:right w:val="none" w:sz="0" w:space="0" w:color="auto"/>
          </w:divBdr>
        </w:div>
        <w:div w:id="6674442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www.scotland.gov.uk/Publications/2006/04/27135238/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9F8A11-BF04-46F4-AE05-7D8CEF4AA4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4335</Words>
  <Characters>24714</Characters>
  <Application>Microsoft Office Word</Application>
  <DocSecurity>0</DocSecurity>
  <Lines>205</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Alexander Chandler</dc:creator>
  <cp:lastModifiedBy>Alexander Chandler</cp:lastModifiedBy>
  <cp:revision>2</cp:revision>
  <dcterms:created xsi:type="dcterms:W3CDTF">2020-06-04T16:40:00Z</dcterms:created>
  <dcterms:modified xsi:type="dcterms:W3CDTF">2020-06-04T16:40:00Z</dcterms:modified>
</cp:coreProperties>
</file>