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57963" w:rsidRDefault="00357963" w:rsidP="00357963">
      <w:pPr>
        <w:spacing w:line="276" w:lineRule="auto"/>
        <w:jc w:val="center"/>
        <w:rPr>
          <w:b/>
          <w:sz w:val="32"/>
          <w:szCs w:val="32"/>
        </w:rPr>
      </w:pPr>
      <w:r w:rsidRPr="00357963">
        <w:rPr>
          <w:b/>
          <w:sz w:val="32"/>
          <w:szCs w:val="32"/>
        </w:rPr>
        <w:t xml:space="preserve">The Supreme Court’s decision </w:t>
      </w:r>
      <w:r>
        <w:rPr>
          <w:b/>
          <w:sz w:val="32"/>
          <w:szCs w:val="32"/>
        </w:rPr>
        <w:t xml:space="preserve">in </w:t>
      </w:r>
    </w:p>
    <w:p w:rsidR="00FA7CF6" w:rsidRDefault="0062778F" w:rsidP="00357963">
      <w:pPr>
        <w:spacing w:line="276" w:lineRule="auto"/>
        <w:jc w:val="center"/>
        <w:rPr>
          <w:b/>
          <w:sz w:val="32"/>
          <w:szCs w:val="32"/>
        </w:rPr>
      </w:pPr>
      <w:r w:rsidRPr="00357963">
        <w:rPr>
          <w:b/>
          <w:i/>
          <w:sz w:val="32"/>
          <w:szCs w:val="32"/>
        </w:rPr>
        <w:t xml:space="preserve">Jones v </w:t>
      </w:r>
      <w:proofErr w:type="spellStart"/>
      <w:r w:rsidRPr="00357963">
        <w:rPr>
          <w:b/>
          <w:i/>
          <w:sz w:val="32"/>
          <w:szCs w:val="32"/>
        </w:rPr>
        <w:t>Kernott</w:t>
      </w:r>
      <w:proofErr w:type="spellEnd"/>
      <w:r w:rsidRPr="00357963">
        <w:rPr>
          <w:b/>
          <w:sz w:val="32"/>
          <w:szCs w:val="32"/>
        </w:rPr>
        <w:t xml:space="preserve"> [2011] UKSC 53</w:t>
      </w:r>
    </w:p>
    <w:p w:rsidR="0062778F" w:rsidRDefault="0062778F" w:rsidP="00697443">
      <w:pPr>
        <w:spacing w:line="276" w:lineRule="auto"/>
      </w:pPr>
    </w:p>
    <w:p w:rsidR="00357963" w:rsidRPr="00357963" w:rsidRDefault="00697443" w:rsidP="00697443">
      <w:pPr>
        <w:spacing w:line="276" w:lineRule="auto"/>
        <w:rPr>
          <w:u w:val="single"/>
        </w:rPr>
      </w:pPr>
      <w:r>
        <w:rPr>
          <w:u w:val="single"/>
        </w:rPr>
        <w:t>Outcome</w:t>
      </w:r>
    </w:p>
    <w:p w:rsidR="000B4652" w:rsidRDefault="000B4652" w:rsidP="00697443">
      <w:pPr>
        <w:spacing w:line="276" w:lineRule="auto"/>
        <w:jc w:val="both"/>
      </w:pPr>
      <w:r>
        <w:t xml:space="preserve">In </w:t>
      </w:r>
      <w:r>
        <w:rPr>
          <w:i/>
        </w:rPr>
        <w:t xml:space="preserve">Jones v </w:t>
      </w:r>
      <w:proofErr w:type="spellStart"/>
      <w:r>
        <w:rPr>
          <w:i/>
        </w:rPr>
        <w:t>Kernott</w:t>
      </w:r>
      <w:proofErr w:type="spellEnd"/>
      <w:r>
        <w:t xml:space="preserve">, the Supreme Court unanimously allowed Patricia Jones’ appeal and declared that she was entitled to a 90% share of the property she jointly owned with Leonard </w:t>
      </w:r>
      <w:proofErr w:type="spellStart"/>
      <w:r>
        <w:t>Kernott</w:t>
      </w:r>
      <w:proofErr w:type="spellEnd"/>
      <w:r>
        <w:t xml:space="preserve"> in </w:t>
      </w:r>
      <w:proofErr w:type="spellStart"/>
      <w:r>
        <w:t>Thundersley</w:t>
      </w:r>
      <w:proofErr w:type="spellEnd"/>
      <w:r>
        <w:t>, Essex</w:t>
      </w:r>
    </w:p>
    <w:p w:rsidR="000B4652" w:rsidRDefault="000B4652" w:rsidP="000B4652">
      <w:pPr>
        <w:spacing w:line="276" w:lineRule="auto"/>
        <w:jc w:val="both"/>
      </w:pPr>
      <w:r>
        <w:t xml:space="preserve">That a dispute over a property worth £245,000 with relatively few factual issues can involve </w:t>
      </w:r>
      <w:r w:rsidRPr="00E235EE">
        <w:rPr>
          <w:i/>
        </w:rPr>
        <w:t>three</w:t>
      </w:r>
      <w:r>
        <w:t xml:space="preserve"> reported appeals (</w:t>
      </w:r>
      <w:r>
        <w:rPr>
          <w:i/>
        </w:rPr>
        <w:t xml:space="preserve">Jones v </w:t>
      </w:r>
      <w:proofErr w:type="spellStart"/>
      <w:r>
        <w:rPr>
          <w:i/>
        </w:rPr>
        <w:t>Kernott</w:t>
      </w:r>
      <w:proofErr w:type="spellEnd"/>
      <w:r>
        <w:rPr>
          <w:i/>
        </w:rPr>
        <w:t xml:space="preserve"> </w:t>
      </w:r>
      <w:r>
        <w:t xml:space="preserve">[2009] EWHC 1713;  </w:t>
      </w:r>
      <w:proofErr w:type="spellStart"/>
      <w:r>
        <w:rPr>
          <w:i/>
        </w:rPr>
        <w:t>Kernott</w:t>
      </w:r>
      <w:proofErr w:type="spellEnd"/>
      <w:r>
        <w:rPr>
          <w:i/>
        </w:rPr>
        <w:t xml:space="preserve"> v Jones </w:t>
      </w:r>
      <w:r>
        <w:t xml:space="preserve">[2010] EWHC Civ 578; </w:t>
      </w:r>
      <w:r>
        <w:rPr>
          <w:i/>
        </w:rPr>
        <w:t xml:space="preserve">Jones v </w:t>
      </w:r>
      <w:proofErr w:type="spellStart"/>
      <w:r>
        <w:rPr>
          <w:i/>
        </w:rPr>
        <w:t>Kernott</w:t>
      </w:r>
      <w:proofErr w:type="spellEnd"/>
      <w:r>
        <w:rPr>
          <w:i/>
        </w:rPr>
        <w:t xml:space="preserve"> </w:t>
      </w:r>
      <w:r>
        <w:t xml:space="preserve">[2011] UKSC 53) and significant dissenting judgments at both the Court of Appeal and Supreme Court, speaks volumes about the current state of law in TOLATA. </w:t>
      </w:r>
    </w:p>
    <w:p w:rsidR="00FC1253" w:rsidRDefault="009C4A8F" w:rsidP="009C4A8F">
      <w:pPr>
        <w:spacing w:line="276" w:lineRule="auto"/>
        <w:jc w:val="both"/>
      </w:pPr>
      <w:r>
        <w:t>However, once again, the Supreme Court did not speak with one voice</w:t>
      </w:r>
      <w:r w:rsidR="00FC1253">
        <w:t xml:space="preserve"> and </w:t>
      </w:r>
      <w:r w:rsidR="001920EC">
        <w:t xml:space="preserve">the </w:t>
      </w:r>
      <w:r w:rsidR="00386DFF">
        <w:t>Justices</w:t>
      </w:r>
      <w:r w:rsidR="001920EC">
        <w:t xml:space="preserve"> divided 3:2 on the </w:t>
      </w:r>
      <w:r w:rsidR="00386DFF">
        <w:t xml:space="preserve">question of </w:t>
      </w:r>
      <w:r w:rsidR="001920EC">
        <w:t xml:space="preserve">whether the court was inferring </w:t>
      </w:r>
      <w:r w:rsidR="00386DFF">
        <w:t xml:space="preserve">the parties’ </w:t>
      </w:r>
      <w:r w:rsidR="001920EC">
        <w:t xml:space="preserve">intentions or imputing what </w:t>
      </w:r>
      <w:r w:rsidR="00386DFF">
        <w:t xml:space="preserve">it </w:t>
      </w:r>
      <w:r w:rsidR="001920EC">
        <w:t>objectively considered fair:</w:t>
      </w:r>
    </w:p>
    <w:p w:rsidR="00FC1253" w:rsidRPr="005033FC" w:rsidRDefault="00FC1253" w:rsidP="00FC1253">
      <w:pPr>
        <w:autoSpaceDE w:val="0"/>
        <w:autoSpaceDN w:val="0"/>
        <w:adjustRightInd w:val="0"/>
        <w:spacing w:after="0" w:line="240" w:lineRule="auto"/>
        <w:ind w:left="720" w:right="566"/>
        <w:jc w:val="both"/>
        <w:rPr>
          <w:rFonts w:cs="Times New Roman"/>
          <w:sz w:val="21"/>
          <w:szCs w:val="21"/>
        </w:rPr>
      </w:pPr>
      <w:r w:rsidRPr="005033FC">
        <w:rPr>
          <w:sz w:val="21"/>
          <w:szCs w:val="21"/>
        </w:rPr>
        <w:t>“</w:t>
      </w:r>
      <w:r w:rsidRPr="005033FC">
        <w:rPr>
          <w:b/>
          <w:sz w:val="21"/>
          <w:szCs w:val="21"/>
        </w:rPr>
        <w:t>[69]</w:t>
      </w:r>
      <w:r w:rsidRPr="005033FC">
        <w:rPr>
          <w:sz w:val="21"/>
          <w:szCs w:val="21"/>
        </w:rPr>
        <w:t xml:space="preserve"> </w:t>
      </w:r>
      <w:proofErr w:type="gramStart"/>
      <w:r w:rsidRPr="005033FC">
        <w:rPr>
          <w:rFonts w:cs="Times New Roman"/>
          <w:sz w:val="21"/>
          <w:szCs w:val="21"/>
        </w:rPr>
        <w:t>The</w:t>
      </w:r>
      <w:proofErr w:type="gramEnd"/>
      <w:r w:rsidRPr="005033FC">
        <w:rPr>
          <w:rFonts w:cs="Times New Roman"/>
          <w:sz w:val="21"/>
          <w:szCs w:val="21"/>
        </w:rPr>
        <w:t xml:space="preserve"> areas of disagreement appear to be these: (a) is there sufficient evidence in the present case from which the parties’ intentions can be inferred? (b) </w:t>
      </w:r>
      <w:proofErr w:type="gramStart"/>
      <w:r w:rsidRPr="005033FC">
        <w:rPr>
          <w:rFonts w:cs="Times New Roman"/>
          <w:sz w:val="21"/>
          <w:szCs w:val="21"/>
        </w:rPr>
        <w:t>is</w:t>
      </w:r>
      <w:proofErr w:type="gramEnd"/>
      <w:r w:rsidRPr="005033FC">
        <w:rPr>
          <w:rFonts w:cs="Times New Roman"/>
          <w:sz w:val="21"/>
          <w:szCs w:val="21"/>
        </w:rPr>
        <w:t xml:space="preserve"> the difference between inferring and imputing an intention likely to be great as a matter of general practice?”, per Lord Kerr</w:t>
      </w:r>
    </w:p>
    <w:p w:rsidR="00FC1253" w:rsidRDefault="00FC1253" w:rsidP="009C4A8F">
      <w:pPr>
        <w:spacing w:line="276" w:lineRule="auto"/>
        <w:jc w:val="both"/>
      </w:pPr>
    </w:p>
    <w:p w:rsidR="001920EC" w:rsidRDefault="00FC1253" w:rsidP="009C4A8F">
      <w:pPr>
        <w:spacing w:line="276" w:lineRule="auto"/>
        <w:jc w:val="both"/>
      </w:pPr>
      <w:r>
        <w:t xml:space="preserve">Lord Walker and Lady Hale </w:t>
      </w:r>
      <w:r w:rsidR="00386DFF">
        <w:t>inferred</w:t>
      </w:r>
      <w:r>
        <w:t xml:space="preserve"> that the parties</w:t>
      </w:r>
      <w:r w:rsidR="00386DFF">
        <w:t>’</w:t>
      </w:r>
      <w:r>
        <w:t xml:space="preserve"> intentions </w:t>
      </w:r>
      <w:r w:rsidR="00386DFF">
        <w:t xml:space="preserve">had </w:t>
      </w:r>
      <w:r>
        <w:t>changed on separation whereby ‘</w:t>
      </w:r>
      <w:r w:rsidR="00386DFF">
        <w:t>…</w:t>
      </w:r>
      <w:r>
        <w:t xml:space="preserve">the logical inference’ was that Mr </w:t>
      </w:r>
      <w:proofErr w:type="spellStart"/>
      <w:r>
        <w:t>Kernott’s</w:t>
      </w:r>
      <w:proofErr w:type="spellEnd"/>
      <w:r>
        <w:t xml:space="preserve"> share crystallised at that point [¶ 48]. Lord Collins </w:t>
      </w:r>
      <w:r w:rsidR="001920EC">
        <w:t>concurred with this reasoning [¶ 55].</w:t>
      </w:r>
    </w:p>
    <w:p w:rsidR="00697443" w:rsidRDefault="00FC1253" w:rsidP="009C4A8F">
      <w:pPr>
        <w:spacing w:line="276" w:lineRule="auto"/>
        <w:jc w:val="both"/>
      </w:pPr>
      <w:r>
        <w:t xml:space="preserve">By contrast, </w:t>
      </w:r>
      <w:r w:rsidR="001920EC">
        <w:t>Lords Kerr and Wilson concluded that it was in fact “…impossible to infer that the parties intended that their shares in the property be apportioned as the judge considered they should be but that such an intention should be imputed to them” (Lord Kerr, ¶ 77).</w:t>
      </w:r>
    </w:p>
    <w:p w:rsidR="009C4A8F" w:rsidRDefault="009C4A8F" w:rsidP="009C4A8F">
      <w:pPr>
        <w:spacing w:line="276" w:lineRule="auto"/>
        <w:jc w:val="both"/>
      </w:pPr>
    </w:p>
    <w:p w:rsidR="009C4A8F" w:rsidRPr="009C4A8F" w:rsidRDefault="009C4A8F" w:rsidP="009C4A8F">
      <w:pPr>
        <w:spacing w:line="276" w:lineRule="auto"/>
        <w:jc w:val="both"/>
        <w:rPr>
          <w:u w:val="single"/>
        </w:rPr>
      </w:pPr>
      <w:r>
        <w:rPr>
          <w:u w:val="single"/>
        </w:rPr>
        <w:t xml:space="preserve">Facts </w:t>
      </w:r>
    </w:p>
    <w:p w:rsidR="009C4A8F" w:rsidRDefault="009C4A8F" w:rsidP="009C4A8F">
      <w:pPr>
        <w:pStyle w:val="Para"/>
        <w:spacing w:line="276" w:lineRule="auto"/>
        <w:jc w:val="both"/>
      </w:pPr>
      <w:r>
        <w:t xml:space="preserve">Leonard </w:t>
      </w:r>
      <w:proofErr w:type="spellStart"/>
      <w:r>
        <w:t>Kernott</w:t>
      </w:r>
      <w:proofErr w:type="spellEnd"/>
      <w:r>
        <w:t xml:space="preserve"> and Patricia Jones met in 1980 and formed a relationship. In 1985 they bought a bungalow in </w:t>
      </w:r>
      <w:smartTag w:uri="urn:schemas-microsoft-com:office:smarttags" w:element="Street">
        <w:smartTag w:uri="urn:schemas-microsoft-com:office:smarttags" w:element="address">
          <w:r>
            <w:t>Badger Hall Avenue</w:t>
          </w:r>
        </w:smartTag>
      </w:smartTag>
      <w:r>
        <w:t xml:space="preserve">, </w:t>
      </w:r>
      <w:proofErr w:type="spellStart"/>
      <w:r>
        <w:t>Thundersley</w:t>
      </w:r>
      <w:proofErr w:type="spellEnd"/>
      <w:r>
        <w:t xml:space="preserve">, </w:t>
      </w:r>
      <w:proofErr w:type="gramStart"/>
      <w:r>
        <w:t>Essex</w:t>
      </w:r>
      <w:proofErr w:type="gramEnd"/>
      <w:r>
        <w:t xml:space="preserve"> in joint names. The conveyance did not contain a declaration of trust and neither party sought or was offered advice as to the implications of buying a property jointly. The parties and their two children (born in 1984 and 1986) lived at the property as their family home from 1985 until their separation in 1993 when Mr </w:t>
      </w:r>
      <w:proofErr w:type="spellStart"/>
      <w:r>
        <w:t>Kernott</w:t>
      </w:r>
      <w:proofErr w:type="spellEnd"/>
      <w:r>
        <w:t xml:space="preserve"> vacated the property. </w:t>
      </w:r>
    </w:p>
    <w:p w:rsidR="009C4A8F" w:rsidRDefault="009C4A8F" w:rsidP="009C4A8F">
      <w:pPr>
        <w:pStyle w:val="Para"/>
        <w:spacing w:line="276" w:lineRule="auto"/>
        <w:jc w:val="both"/>
      </w:pPr>
      <w:r>
        <w:t xml:space="preserve">At that time, a joint insurance policy was surrendered and the proceeds divided equally, </w:t>
      </w:r>
      <w:r>
        <w:lastRenderedPageBreak/>
        <w:t xml:space="preserve">enabling Mr </w:t>
      </w:r>
      <w:proofErr w:type="spellStart"/>
      <w:r>
        <w:t>Kernott</w:t>
      </w:r>
      <w:proofErr w:type="spellEnd"/>
      <w:r>
        <w:t xml:space="preserve"> to put down a deposit on a new property in his sole name. </w:t>
      </w:r>
    </w:p>
    <w:p w:rsidR="009C4A8F" w:rsidRDefault="009C4A8F" w:rsidP="009C4A8F">
      <w:pPr>
        <w:pStyle w:val="Para"/>
        <w:spacing w:line="276" w:lineRule="auto"/>
        <w:jc w:val="both"/>
      </w:pPr>
      <w:r>
        <w:t xml:space="preserve">Having left, Mr </w:t>
      </w:r>
      <w:proofErr w:type="spellStart"/>
      <w:r>
        <w:t>Kernott</w:t>
      </w:r>
      <w:proofErr w:type="spellEnd"/>
      <w:r>
        <w:t xml:space="preserve"> made no further financial contribution to the household and bought his own home. Ms Jones took responsibility for the mortgage, the endowment policy premiums, all of the household bills and supported the children with little or no financial support from her former partner. In May 2006, more than 12 years after their separation, Mr </w:t>
      </w:r>
      <w:proofErr w:type="spellStart"/>
      <w:r>
        <w:t>Kernott</w:t>
      </w:r>
      <w:proofErr w:type="spellEnd"/>
      <w:r>
        <w:t xml:space="preserve"> sought to realise his half share of the bungalow, which remained in the parties’ joint ownership and in March 2008 he purported to sever the joint tenancy.</w:t>
      </w:r>
    </w:p>
    <w:p w:rsidR="000B4652" w:rsidRPr="002D2843" w:rsidRDefault="000B4652" w:rsidP="000B4652">
      <w:pPr>
        <w:pStyle w:val="Para"/>
        <w:spacing w:line="276" w:lineRule="auto"/>
        <w:jc w:val="both"/>
      </w:pPr>
      <w:r>
        <w:t>It is worth interjecting at that point that, if the parties had signed a declaration of trust (which since 1998 is provided for in the standard Form TR1), such a declaration would have conclusively declared their shares save in the event of fraud or mistake (</w:t>
      </w:r>
      <w:r w:rsidRPr="00BF5177">
        <w:rPr>
          <w:i/>
          <w:iCs/>
        </w:rPr>
        <w:t>Pettitt v Pettitt</w:t>
      </w:r>
      <w:r w:rsidRPr="00BF5177">
        <w:t xml:space="preserve"> [1970] AC 777</w:t>
      </w:r>
      <w:r>
        <w:t xml:space="preserve">; </w:t>
      </w:r>
      <w:r w:rsidRPr="007C6AC5">
        <w:rPr>
          <w:i/>
        </w:rPr>
        <w:t xml:space="preserve">Goodman v Gallant </w:t>
      </w:r>
      <w:r w:rsidRPr="006A012C">
        <w:t>[1986] 1 FLR 513</w:t>
      </w:r>
      <w:r>
        <w:t xml:space="preserve">). Their original financial contributions and issues of subsequent common intention constructive trust would have been irrelevant. Had Ms Jones and Mr </w:t>
      </w:r>
      <w:proofErr w:type="spellStart"/>
      <w:r>
        <w:t>Kernott</w:t>
      </w:r>
      <w:proofErr w:type="spellEnd"/>
      <w:r>
        <w:t xml:space="preserve"> signed up to an express declaration, it is suggested that the court’s powers to declare that their interests were other than equal could only have arisen from conducting an account in accordance with s. 12 to 15 of TOLATA (see </w:t>
      </w:r>
      <w:r>
        <w:rPr>
          <w:i/>
        </w:rPr>
        <w:t xml:space="preserve">Murphy v Gooch </w:t>
      </w:r>
      <w:r>
        <w:t>[2007] EWCA Civ 603).</w:t>
      </w:r>
    </w:p>
    <w:p w:rsidR="000B4652" w:rsidRDefault="000B4652" w:rsidP="009C4A8F">
      <w:pPr>
        <w:spacing w:line="276" w:lineRule="auto"/>
        <w:jc w:val="both"/>
      </w:pPr>
    </w:p>
    <w:p w:rsidR="009C4A8F" w:rsidRPr="009C4A8F" w:rsidRDefault="001920EC" w:rsidP="00697443">
      <w:pPr>
        <w:spacing w:line="276" w:lineRule="auto"/>
        <w:jc w:val="both"/>
        <w:rPr>
          <w:u w:val="single"/>
        </w:rPr>
      </w:pPr>
      <w:r>
        <w:rPr>
          <w:u w:val="single"/>
        </w:rPr>
        <w:t>Lead judgment</w:t>
      </w:r>
      <w:r w:rsidR="009C4A8F">
        <w:rPr>
          <w:u w:val="single"/>
        </w:rPr>
        <w:t xml:space="preserve"> of Lord Walker and Lady Hale</w:t>
      </w:r>
    </w:p>
    <w:p w:rsidR="0077575E" w:rsidRDefault="001920EC" w:rsidP="0077575E">
      <w:pPr>
        <w:pStyle w:val="ListParagraph"/>
        <w:numPr>
          <w:ilvl w:val="0"/>
          <w:numId w:val="3"/>
        </w:numPr>
        <w:spacing w:line="276" w:lineRule="auto"/>
        <w:jc w:val="both"/>
      </w:pPr>
      <w:r>
        <w:t xml:space="preserve">Acknowledged the controversy that had arisen from </w:t>
      </w:r>
      <w:r w:rsidRPr="0077575E">
        <w:rPr>
          <w:i/>
        </w:rPr>
        <w:t>Stack v Dowden</w:t>
      </w:r>
      <w:r w:rsidR="0077575E">
        <w:t xml:space="preserve"> [2007] UKHL 17, and that this appeal provided an opportunity for some clarification [¶ 1-2]</w:t>
      </w:r>
    </w:p>
    <w:p w:rsidR="0077575E" w:rsidRDefault="0077575E" w:rsidP="0077575E">
      <w:pPr>
        <w:pStyle w:val="ListParagraph"/>
        <w:spacing w:line="276" w:lineRule="auto"/>
        <w:ind w:left="1080"/>
        <w:jc w:val="both"/>
      </w:pPr>
    </w:p>
    <w:p w:rsidR="0077575E" w:rsidRDefault="0077575E" w:rsidP="0077575E">
      <w:pPr>
        <w:pStyle w:val="ListParagraph"/>
        <w:numPr>
          <w:ilvl w:val="0"/>
          <w:numId w:val="3"/>
        </w:numPr>
        <w:spacing w:line="276" w:lineRule="auto"/>
        <w:jc w:val="both"/>
      </w:pPr>
      <w:r>
        <w:t xml:space="preserve">While ‘at a high level of generality’ there is a single regime relating to family homes, there is a different starting point between jointly owned properties (presumption of equal beneficial ownership) and solely owned properties (presumption of sole beneficial ownership) [¶ 16] – which was not simply a matter of ‘equity following the law’ but arose for substantial reasons including </w:t>
      </w:r>
    </w:p>
    <w:p w:rsidR="0077575E" w:rsidRDefault="0077575E" w:rsidP="0077575E">
      <w:pPr>
        <w:pStyle w:val="ListParagraph"/>
        <w:numPr>
          <w:ilvl w:val="0"/>
          <w:numId w:val="2"/>
        </w:numPr>
        <w:spacing w:line="276" w:lineRule="auto"/>
        <w:jc w:val="both"/>
      </w:pPr>
      <w:r>
        <w:t>the ‘strong indication of emotional and economic commitment to a joint enterprise’ in a jointly owned property [¶ 19]</w:t>
      </w:r>
    </w:p>
    <w:p w:rsidR="0077575E" w:rsidRDefault="0077575E" w:rsidP="0077575E">
      <w:pPr>
        <w:pStyle w:val="ListParagraph"/>
        <w:numPr>
          <w:ilvl w:val="0"/>
          <w:numId w:val="2"/>
        </w:numPr>
        <w:spacing w:line="276" w:lineRule="auto"/>
        <w:jc w:val="both"/>
      </w:pPr>
      <w:r>
        <w:t xml:space="preserve">the practical difficulty in many cases of unravelling the parties intentions with regards the ownership of property after a long relationship [¶ 22] </w:t>
      </w:r>
    </w:p>
    <w:p w:rsidR="0077575E" w:rsidRDefault="0077575E" w:rsidP="0077575E">
      <w:pPr>
        <w:pStyle w:val="ListParagraph"/>
        <w:spacing w:line="276" w:lineRule="auto"/>
        <w:ind w:left="1800"/>
        <w:jc w:val="both"/>
      </w:pPr>
    </w:p>
    <w:p w:rsidR="00386DFF" w:rsidRDefault="005033FC" w:rsidP="0077575E">
      <w:pPr>
        <w:pStyle w:val="ListParagraph"/>
        <w:numPr>
          <w:ilvl w:val="0"/>
          <w:numId w:val="3"/>
        </w:numPr>
        <w:spacing w:line="276" w:lineRule="auto"/>
        <w:jc w:val="both"/>
      </w:pPr>
      <w:r>
        <w:t>With regards quantification of the shares of co-owners, c</w:t>
      </w:r>
      <w:r w:rsidR="0077575E">
        <w:t xml:space="preserve">onfirmed </w:t>
      </w:r>
      <w:r w:rsidR="00386DFF">
        <w:t xml:space="preserve">the </w:t>
      </w:r>
      <w:r w:rsidR="00386DFF">
        <w:rPr>
          <w:i/>
        </w:rPr>
        <w:t>Stack v Dowden</w:t>
      </w:r>
      <w:r w:rsidR="00386DFF">
        <w:t xml:space="preserve"> </w:t>
      </w:r>
      <w:proofErr w:type="gramStart"/>
      <w:r w:rsidR="00386DFF">
        <w:t>approach,</w:t>
      </w:r>
      <w:r>
        <w:rPr>
          <w:i/>
        </w:rPr>
        <w:t xml:space="preserve"> </w:t>
      </w:r>
      <w:r w:rsidR="0077575E">
        <w:t>that</w:t>
      </w:r>
      <w:proofErr w:type="gramEnd"/>
      <w:r w:rsidR="0077575E">
        <w:t xml:space="preserve"> the </w:t>
      </w:r>
      <w:r>
        <w:t xml:space="preserve">primary search is to ascertain the parties’ actual shared intentions whether expressed or inferred from conduct. </w:t>
      </w:r>
    </w:p>
    <w:p w:rsidR="00386DFF" w:rsidRDefault="00386DFF" w:rsidP="00386DFF">
      <w:pPr>
        <w:pStyle w:val="ListParagraph"/>
        <w:spacing w:line="276" w:lineRule="auto"/>
        <w:ind w:left="1080"/>
        <w:jc w:val="both"/>
      </w:pPr>
    </w:p>
    <w:p w:rsidR="00697443" w:rsidRDefault="005033FC" w:rsidP="0077575E">
      <w:pPr>
        <w:pStyle w:val="ListParagraph"/>
        <w:numPr>
          <w:ilvl w:val="0"/>
          <w:numId w:val="3"/>
        </w:numPr>
        <w:spacing w:line="276" w:lineRule="auto"/>
        <w:jc w:val="both"/>
      </w:pPr>
      <w:r>
        <w:t xml:space="preserve">However, the court may </w:t>
      </w:r>
      <w:r w:rsidR="00386DFF">
        <w:t xml:space="preserve">(although not on the facts of this case) </w:t>
      </w:r>
      <w:r>
        <w:t>be ‘driven to impute an intention to the parties which they may never have had’ in at least two exceptions [¶ 31]</w:t>
      </w:r>
      <w:r w:rsidR="00386DFF">
        <w:t xml:space="preserve"> </w:t>
      </w:r>
      <w:r>
        <w:t xml:space="preserve">i.e. </w:t>
      </w:r>
    </w:p>
    <w:p w:rsidR="005033FC" w:rsidRDefault="005033FC" w:rsidP="005033FC">
      <w:pPr>
        <w:pStyle w:val="ListParagraph"/>
        <w:numPr>
          <w:ilvl w:val="0"/>
          <w:numId w:val="4"/>
        </w:numPr>
        <w:spacing w:line="276" w:lineRule="auto"/>
        <w:jc w:val="both"/>
      </w:pPr>
      <w:r>
        <w:t>Where domestic partners are also business partners, the classic resulting trust approach may apply;</w:t>
      </w:r>
    </w:p>
    <w:p w:rsidR="005033FC" w:rsidRDefault="005033FC" w:rsidP="005033FC">
      <w:pPr>
        <w:pStyle w:val="ListParagraph"/>
        <w:numPr>
          <w:ilvl w:val="0"/>
          <w:numId w:val="4"/>
        </w:numPr>
        <w:spacing w:line="276" w:lineRule="auto"/>
        <w:jc w:val="both"/>
      </w:pPr>
      <w:r>
        <w:t>Where it is ‘impossible to divine a common intention as to the proportions in which they are to be shared’</w:t>
      </w:r>
    </w:p>
    <w:p w:rsidR="005033FC" w:rsidRDefault="005033FC" w:rsidP="005033FC">
      <w:pPr>
        <w:pStyle w:val="ListParagraph"/>
        <w:spacing w:line="276" w:lineRule="auto"/>
        <w:ind w:left="1080"/>
        <w:jc w:val="both"/>
      </w:pPr>
    </w:p>
    <w:p w:rsidR="005033FC" w:rsidRDefault="005033FC" w:rsidP="0077575E">
      <w:pPr>
        <w:pStyle w:val="ListParagraph"/>
        <w:numPr>
          <w:ilvl w:val="0"/>
          <w:numId w:val="3"/>
        </w:numPr>
        <w:spacing w:line="276" w:lineRule="auto"/>
        <w:jc w:val="both"/>
      </w:pPr>
      <w:r>
        <w:t>While the conceptual difference between imputation and inference is clear, ‘the difference in practice may not be so great’ [¶ 34]</w:t>
      </w:r>
    </w:p>
    <w:p w:rsidR="003749EC" w:rsidRDefault="003749EC" w:rsidP="003749EC">
      <w:pPr>
        <w:pStyle w:val="ListParagraph"/>
        <w:spacing w:line="276" w:lineRule="auto"/>
        <w:ind w:left="1080"/>
        <w:jc w:val="both"/>
      </w:pPr>
    </w:p>
    <w:p w:rsidR="003749EC" w:rsidRDefault="00386DFF" w:rsidP="0077575E">
      <w:pPr>
        <w:pStyle w:val="ListParagraph"/>
        <w:numPr>
          <w:ilvl w:val="0"/>
          <w:numId w:val="3"/>
        </w:numPr>
        <w:spacing w:line="276" w:lineRule="auto"/>
        <w:jc w:val="both"/>
      </w:pPr>
      <w:r>
        <w:t xml:space="preserve">In </w:t>
      </w:r>
      <w:proofErr w:type="spellStart"/>
      <w:r w:rsidRPr="00386DFF">
        <w:rPr>
          <w:i/>
        </w:rPr>
        <w:t>Kernott</w:t>
      </w:r>
      <w:proofErr w:type="spellEnd"/>
      <w:r w:rsidRPr="00386DFF">
        <w:rPr>
          <w:i/>
        </w:rPr>
        <w:t xml:space="preserve"> v Jones</w:t>
      </w:r>
      <w:r w:rsidR="003749EC">
        <w:t xml:space="preserve">, ‘a new plan was formed’ by the parties on separation, when the life insurance policy was cashed in and Mr </w:t>
      </w:r>
      <w:proofErr w:type="spellStart"/>
      <w:r w:rsidR="003749EC">
        <w:t>Kernott</w:t>
      </w:r>
      <w:proofErr w:type="spellEnd"/>
      <w:r w:rsidR="003749EC">
        <w:t xml:space="preserve"> bought a new property. “The logical inference is that they intended that his interest in [the property] should crystallise then… it is clearly the intention which reasonable  people would have had had they thought about it at the time” (¶ 48)</w:t>
      </w:r>
    </w:p>
    <w:p w:rsidR="003749EC" w:rsidRDefault="003749EC" w:rsidP="003749EC">
      <w:pPr>
        <w:pStyle w:val="ListParagraph"/>
      </w:pPr>
    </w:p>
    <w:p w:rsidR="003749EC" w:rsidRDefault="001750EA" w:rsidP="0077575E">
      <w:pPr>
        <w:pStyle w:val="ListParagraph"/>
        <w:numPr>
          <w:ilvl w:val="0"/>
          <w:numId w:val="3"/>
        </w:numPr>
        <w:spacing w:line="276" w:lineRule="auto"/>
        <w:jc w:val="both"/>
      </w:pPr>
      <w:r>
        <w:t xml:space="preserve">The property was worth £60,000 in 1993 whereby Mr </w:t>
      </w:r>
      <w:proofErr w:type="spellStart"/>
      <w:r>
        <w:t>Kernott’s</w:t>
      </w:r>
      <w:proofErr w:type="spellEnd"/>
      <w:r>
        <w:t xml:space="preserve"> half share was then worth £30,000 or approximately 12% of its current value, a figure so close to the decision of 10% that it would be wrong of the appellate court to interfere [¶ 49]</w:t>
      </w:r>
    </w:p>
    <w:p w:rsidR="005033FC" w:rsidRDefault="005033FC" w:rsidP="005033FC">
      <w:pPr>
        <w:pStyle w:val="ListParagraph"/>
        <w:spacing w:line="276" w:lineRule="auto"/>
        <w:ind w:left="1080"/>
        <w:jc w:val="both"/>
      </w:pPr>
    </w:p>
    <w:p w:rsidR="005033FC" w:rsidRDefault="005033FC" w:rsidP="0077575E">
      <w:pPr>
        <w:pStyle w:val="ListParagraph"/>
        <w:numPr>
          <w:ilvl w:val="0"/>
          <w:numId w:val="3"/>
        </w:numPr>
        <w:spacing w:line="276" w:lineRule="auto"/>
        <w:jc w:val="both"/>
      </w:pPr>
      <w:r>
        <w:t xml:space="preserve">Revisiting </w:t>
      </w:r>
      <w:r w:rsidRPr="005033FC">
        <w:rPr>
          <w:i/>
        </w:rPr>
        <w:t>Stack v Dowden</w:t>
      </w:r>
      <w:r w:rsidR="003749EC">
        <w:t xml:space="preserve"> (also see Lord Collins at ¶ 60)</w:t>
      </w:r>
    </w:p>
    <w:p w:rsidR="005033FC" w:rsidRPr="005033FC" w:rsidRDefault="005033FC" w:rsidP="005033FC">
      <w:pPr>
        <w:pStyle w:val="ListParagraph"/>
        <w:spacing w:line="240" w:lineRule="auto"/>
        <w:rPr>
          <w:sz w:val="21"/>
          <w:szCs w:val="21"/>
        </w:rPr>
      </w:pPr>
    </w:p>
    <w:p w:rsidR="005033FC" w:rsidRPr="005033FC" w:rsidRDefault="005033FC" w:rsidP="005033FC">
      <w:pPr>
        <w:pStyle w:val="ListParagraph"/>
        <w:spacing w:line="240" w:lineRule="auto"/>
        <w:ind w:left="1440"/>
        <w:jc w:val="both"/>
        <w:rPr>
          <w:sz w:val="21"/>
          <w:szCs w:val="21"/>
        </w:rPr>
      </w:pPr>
      <w:r>
        <w:rPr>
          <w:sz w:val="21"/>
          <w:szCs w:val="21"/>
        </w:rPr>
        <w:t>“[</w:t>
      </w:r>
      <w:r w:rsidRPr="003749EC">
        <w:rPr>
          <w:b/>
          <w:sz w:val="21"/>
          <w:szCs w:val="21"/>
        </w:rPr>
        <w:t>51</w:t>
      </w:r>
      <w:proofErr w:type="gramStart"/>
      <w:r>
        <w:rPr>
          <w:sz w:val="21"/>
          <w:szCs w:val="21"/>
        </w:rPr>
        <w:t xml:space="preserve">] </w:t>
      </w:r>
      <w:r w:rsidRPr="005033FC">
        <w:rPr>
          <w:sz w:val="21"/>
          <w:szCs w:val="21"/>
        </w:rPr>
        <w:t xml:space="preserve"> In</w:t>
      </w:r>
      <w:proofErr w:type="gramEnd"/>
      <w:r w:rsidRPr="005033FC">
        <w:rPr>
          <w:sz w:val="21"/>
          <w:szCs w:val="21"/>
        </w:rPr>
        <w:t xml:space="preserve"> summary, therefore, the following are the principles applicable in a case</w:t>
      </w:r>
    </w:p>
    <w:p w:rsidR="005033FC" w:rsidRPr="005033FC" w:rsidRDefault="005033FC" w:rsidP="005033FC">
      <w:pPr>
        <w:pStyle w:val="ListParagraph"/>
        <w:spacing w:line="240" w:lineRule="auto"/>
        <w:ind w:left="1440"/>
        <w:jc w:val="both"/>
        <w:rPr>
          <w:sz w:val="21"/>
          <w:szCs w:val="21"/>
        </w:rPr>
      </w:pPr>
      <w:proofErr w:type="gramStart"/>
      <w:r w:rsidRPr="005033FC">
        <w:rPr>
          <w:sz w:val="21"/>
          <w:szCs w:val="21"/>
        </w:rPr>
        <w:t>such</w:t>
      </w:r>
      <w:proofErr w:type="gramEnd"/>
      <w:r w:rsidRPr="005033FC">
        <w:rPr>
          <w:sz w:val="21"/>
          <w:szCs w:val="21"/>
        </w:rPr>
        <w:t xml:space="preserve"> as this, where  a family home is bought in  the joint names of a cohabiting</w:t>
      </w:r>
      <w:r>
        <w:rPr>
          <w:sz w:val="21"/>
          <w:szCs w:val="21"/>
        </w:rPr>
        <w:t xml:space="preserve"> </w:t>
      </w:r>
      <w:r w:rsidRPr="005033FC">
        <w:rPr>
          <w:sz w:val="21"/>
          <w:szCs w:val="21"/>
        </w:rPr>
        <w:t>couple who are both responsible for  any mortgage, but without any express</w:t>
      </w:r>
      <w:r>
        <w:rPr>
          <w:sz w:val="21"/>
          <w:szCs w:val="21"/>
        </w:rPr>
        <w:t xml:space="preserve"> </w:t>
      </w:r>
      <w:r w:rsidRPr="005033FC">
        <w:rPr>
          <w:sz w:val="21"/>
          <w:szCs w:val="21"/>
        </w:rPr>
        <w:t xml:space="preserve">declaration of their beneficial interests.   </w:t>
      </w:r>
    </w:p>
    <w:p w:rsidR="005033FC" w:rsidRDefault="005033FC" w:rsidP="005033FC">
      <w:pPr>
        <w:pStyle w:val="ListParagraph"/>
        <w:numPr>
          <w:ilvl w:val="0"/>
          <w:numId w:val="7"/>
        </w:numPr>
        <w:spacing w:line="240" w:lineRule="auto"/>
        <w:jc w:val="both"/>
        <w:rPr>
          <w:sz w:val="21"/>
          <w:szCs w:val="21"/>
        </w:rPr>
      </w:pPr>
      <w:r w:rsidRPr="005033FC">
        <w:rPr>
          <w:sz w:val="21"/>
          <w:szCs w:val="21"/>
        </w:rPr>
        <w:t>The starting point is that equity follows the law and they are joint tenants both in law and in equity.</w:t>
      </w:r>
    </w:p>
    <w:p w:rsidR="005033FC" w:rsidRDefault="005033FC" w:rsidP="005033FC">
      <w:pPr>
        <w:pStyle w:val="ListParagraph"/>
        <w:numPr>
          <w:ilvl w:val="0"/>
          <w:numId w:val="7"/>
        </w:numPr>
        <w:spacing w:line="240" w:lineRule="auto"/>
        <w:jc w:val="both"/>
        <w:rPr>
          <w:sz w:val="21"/>
          <w:szCs w:val="21"/>
        </w:rPr>
      </w:pPr>
      <w:r w:rsidRPr="005033FC">
        <w:rPr>
          <w:sz w:val="21"/>
          <w:szCs w:val="21"/>
        </w:rPr>
        <w:t>That presumption can be displaced by showing (a) that the parties had a different common intention at the time when they acquired the home, or (b) that they later formed the common intention that their respective shares would change.</w:t>
      </w:r>
    </w:p>
    <w:p w:rsidR="005033FC" w:rsidRDefault="005033FC" w:rsidP="005033FC">
      <w:pPr>
        <w:pStyle w:val="ListParagraph"/>
        <w:numPr>
          <w:ilvl w:val="0"/>
          <w:numId w:val="7"/>
        </w:numPr>
        <w:spacing w:line="240" w:lineRule="auto"/>
        <w:jc w:val="both"/>
        <w:rPr>
          <w:sz w:val="21"/>
          <w:szCs w:val="21"/>
        </w:rPr>
      </w:pPr>
      <w:r w:rsidRPr="005033FC">
        <w:rPr>
          <w:sz w:val="21"/>
          <w:szCs w:val="21"/>
        </w:rPr>
        <w:t>Their common intention is to be deduced objectively from their conduct: “the relevant intention of each party</w:t>
      </w:r>
      <w:r>
        <w:rPr>
          <w:sz w:val="21"/>
          <w:szCs w:val="21"/>
        </w:rPr>
        <w:t xml:space="preserve"> </w:t>
      </w:r>
      <w:r w:rsidRPr="005033FC">
        <w:rPr>
          <w:sz w:val="21"/>
          <w:szCs w:val="21"/>
        </w:rPr>
        <w:t>is the intention which was reasonably understood by the other party to be manifested by that party’s words and conduct notwithstanding that he did not consciously formulate that intention in his own mind or even acted with some different intention which he did not communicate to</w:t>
      </w:r>
      <w:r>
        <w:rPr>
          <w:sz w:val="21"/>
          <w:szCs w:val="21"/>
        </w:rPr>
        <w:t xml:space="preserve"> </w:t>
      </w:r>
      <w:r w:rsidRPr="005033FC">
        <w:rPr>
          <w:sz w:val="21"/>
          <w:szCs w:val="21"/>
        </w:rPr>
        <w:t xml:space="preserve">the other party” (Lord Diplock </w:t>
      </w:r>
      <w:proofErr w:type="gramStart"/>
      <w:r w:rsidRPr="005033FC">
        <w:rPr>
          <w:sz w:val="21"/>
          <w:szCs w:val="21"/>
        </w:rPr>
        <w:t>in  Gissing</w:t>
      </w:r>
      <w:proofErr w:type="gramEnd"/>
      <w:r w:rsidRPr="005033FC">
        <w:rPr>
          <w:sz w:val="21"/>
          <w:szCs w:val="21"/>
        </w:rPr>
        <w:t xml:space="preserve"> v Gissing [1971] AC 886, 906). Examples of the sort of evidence which might be relevant to drawing such</w:t>
      </w:r>
      <w:r>
        <w:rPr>
          <w:sz w:val="21"/>
          <w:szCs w:val="21"/>
        </w:rPr>
        <w:t xml:space="preserve"> </w:t>
      </w:r>
      <w:r w:rsidRPr="005033FC">
        <w:rPr>
          <w:sz w:val="21"/>
          <w:szCs w:val="21"/>
        </w:rPr>
        <w:t>inferences are given in Stack v Dowden, at para 69.</w:t>
      </w:r>
    </w:p>
    <w:p w:rsidR="005033FC" w:rsidRDefault="005033FC" w:rsidP="005033FC">
      <w:pPr>
        <w:pStyle w:val="ListParagraph"/>
        <w:numPr>
          <w:ilvl w:val="0"/>
          <w:numId w:val="7"/>
        </w:numPr>
        <w:spacing w:line="240" w:lineRule="auto"/>
        <w:jc w:val="both"/>
        <w:rPr>
          <w:sz w:val="21"/>
          <w:szCs w:val="21"/>
        </w:rPr>
      </w:pPr>
      <w:r w:rsidRPr="005033FC">
        <w:rPr>
          <w:sz w:val="21"/>
          <w:szCs w:val="21"/>
        </w:rPr>
        <w:t>In those cases where it is clear either (a) that the parties did not intend</w:t>
      </w:r>
      <w:r>
        <w:rPr>
          <w:sz w:val="21"/>
          <w:szCs w:val="21"/>
        </w:rPr>
        <w:t xml:space="preserve"> </w:t>
      </w:r>
      <w:r w:rsidRPr="005033FC">
        <w:rPr>
          <w:sz w:val="21"/>
          <w:szCs w:val="21"/>
        </w:rPr>
        <w:t>joint tenancy at the outset, or (b) had changed their original intention, but it is not</w:t>
      </w:r>
      <w:r>
        <w:rPr>
          <w:sz w:val="21"/>
          <w:szCs w:val="21"/>
        </w:rPr>
        <w:t xml:space="preserve"> </w:t>
      </w:r>
      <w:r w:rsidRPr="005033FC">
        <w:rPr>
          <w:sz w:val="21"/>
          <w:szCs w:val="21"/>
        </w:rPr>
        <w:t>possible to ascertain by direct evidence or by inference what their actual intention</w:t>
      </w:r>
      <w:r>
        <w:rPr>
          <w:sz w:val="21"/>
          <w:szCs w:val="21"/>
        </w:rPr>
        <w:t xml:space="preserve"> </w:t>
      </w:r>
      <w:r w:rsidRPr="005033FC">
        <w:rPr>
          <w:sz w:val="21"/>
          <w:szCs w:val="21"/>
        </w:rPr>
        <w:t>was as to the shares in which they would own the property, “the answer is that</w:t>
      </w:r>
      <w:r>
        <w:rPr>
          <w:sz w:val="21"/>
          <w:szCs w:val="21"/>
        </w:rPr>
        <w:t xml:space="preserve"> </w:t>
      </w:r>
      <w:r w:rsidRPr="005033FC">
        <w:rPr>
          <w:sz w:val="21"/>
          <w:szCs w:val="21"/>
        </w:rPr>
        <w:t>each is entitled to that share which the court considers fair having regard to the</w:t>
      </w:r>
      <w:r>
        <w:rPr>
          <w:sz w:val="21"/>
          <w:szCs w:val="21"/>
        </w:rPr>
        <w:t xml:space="preserve"> </w:t>
      </w:r>
      <w:r w:rsidRPr="005033FC">
        <w:rPr>
          <w:sz w:val="21"/>
          <w:szCs w:val="21"/>
        </w:rPr>
        <w:t>whole course of dealing between them in relation to the property”: Chadwick LJ in</w:t>
      </w:r>
      <w:r>
        <w:rPr>
          <w:sz w:val="21"/>
          <w:szCs w:val="21"/>
        </w:rPr>
        <w:t xml:space="preserve"> </w:t>
      </w:r>
      <w:r w:rsidRPr="005033FC">
        <w:rPr>
          <w:i/>
          <w:sz w:val="21"/>
          <w:szCs w:val="21"/>
        </w:rPr>
        <w:t xml:space="preserve">Oxley v </w:t>
      </w:r>
      <w:proofErr w:type="spellStart"/>
      <w:r w:rsidRPr="005033FC">
        <w:rPr>
          <w:i/>
          <w:sz w:val="21"/>
          <w:szCs w:val="21"/>
        </w:rPr>
        <w:t>Hiscock</w:t>
      </w:r>
      <w:proofErr w:type="spellEnd"/>
      <w:r>
        <w:rPr>
          <w:sz w:val="21"/>
          <w:szCs w:val="21"/>
        </w:rPr>
        <w:t xml:space="preserve"> [2005] Fa</w:t>
      </w:r>
      <w:r w:rsidRPr="005033FC">
        <w:rPr>
          <w:sz w:val="21"/>
          <w:szCs w:val="21"/>
        </w:rPr>
        <w:t>m 211, para 69. In our judgment, “the whole course of</w:t>
      </w:r>
      <w:r>
        <w:rPr>
          <w:sz w:val="21"/>
          <w:szCs w:val="21"/>
        </w:rPr>
        <w:t xml:space="preserve"> </w:t>
      </w:r>
      <w:r w:rsidRPr="005033FC">
        <w:rPr>
          <w:sz w:val="21"/>
          <w:szCs w:val="21"/>
        </w:rPr>
        <w:t>dealing … in relation to the property” should be given a broad meaning, enabling a</w:t>
      </w:r>
      <w:r>
        <w:rPr>
          <w:sz w:val="21"/>
          <w:szCs w:val="21"/>
        </w:rPr>
        <w:t xml:space="preserve"> </w:t>
      </w:r>
      <w:r w:rsidRPr="005033FC">
        <w:rPr>
          <w:sz w:val="21"/>
          <w:szCs w:val="21"/>
        </w:rPr>
        <w:t>similar range of factors to be taken into account as may be relevant to ascertaining</w:t>
      </w:r>
      <w:r>
        <w:rPr>
          <w:sz w:val="21"/>
          <w:szCs w:val="21"/>
        </w:rPr>
        <w:t xml:space="preserve"> </w:t>
      </w:r>
      <w:r w:rsidRPr="005033FC">
        <w:rPr>
          <w:sz w:val="21"/>
          <w:szCs w:val="21"/>
        </w:rPr>
        <w:t>the parties’ actual intentions.</w:t>
      </w:r>
    </w:p>
    <w:p w:rsidR="005033FC" w:rsidRPr="005033FC" w:rsidRDefault="005033FC" w:rsidP="005033FC">
      <w:pPr>
        <w:pStyle w:val="ListParagraph"/>
        <w:numPr>
          <w:ilvl w:val="0"/>
          <w:numId w:val="7"/>
        </w:numPr>
        <w:spacing w:line="240" w:lineRule="auto"/>
        <w:jc w:val="both"/>
        <w:rPr>
          <w:sz w:val="21"/>
          <w:szCs w:val="21"/>
        </w:rPr>
      </w:pPr>
      <w:r w:rsidRPr="005033FC">
        <w:rPr>
          <w:sz w:val="21"/>
          <w:szCs w:val="21"/>
        </w:rPr>
        <w:t>Each case will turn on its own facts. Financial contributions are relevant</w:t>
      </w:r>
      <w:r>
        <w:rPr>
          <w:sz w:val="21"/>
          <w:szCs w:val="21"/>
        </w:rPr>
        <w:t xml:space="preserve"> </w:t>
      </w:r>
      <w:r w:rsidRPr="005033FC">
        <w:rPr>
          <w:sz w:val="21"/>
          <w:szCs w:val="21"/>
        </w:rPr>
        <w:t>but there are many other factors which may enable the court to decide what shares</w:t>
      </w:r>
      <w:r>
        <w:rPr>
          <w:sz w:val="21"/>
          <w:szCs w:val="21"/>
        </w:rPr>
        <w:t xml:space="preserve"> </w:t>
      </w:r>
      <w:r w:rsidRPr="005033FC">
        <w:rPr>
          <w:sz w:val="21"/>
          <w:szCs w:val="21"/>
        </w:rPr>
        <w:t>were either intended (as in case (3)) or fair (as in case (4)).</w:t>
      </w:r>
    </w:p>
    <w:p w:rsidR="00697443" w:rsidRDefault="00697443" w:rsidP="00697443">
      <w:pPr>
        <w:spacing w:line="276" w:lineRule="auto"/>
        <w:jc w:val="both"/>
      </w:pPr>
    </w:p>
    <w:p w:rsidR="00697443" w:rsidRPr="001750EA" w:rsidRDefault="003749EC" w:rsidP="00697443">
      <w:pPr>
        <w:spacing w:line="276" w:lineRule="auto"/>
        <w:jc w:val="both"/>
        <w:rPr>
          <w:u w:val="single"/>
        </w:rPr>
      </w:pPr>
      <w:r w:rsidRPr="001750EA">
        <w:rPr>
          <w:u w:val="single"/>
        </w:rPr>
        <w:t xml:space="preserve">Dissenting judgment of Lord Kerr </w:t>
      </w:r>
    </w:p>
    <w:p w:rsidR="00697443" w:rsidRDefault="003749EC" w:rsidP="003749EC">
      <w:pPr>
        <w:pStyle w:val="ListParagraph"/>
        <w:numPr>
          <w:ilvl w:val="0"/>
          <w:numId w:val="8"/>
        </w:numPr>
        <w:spacing w:line="276" w:lineRule="auto"/>
        <w:jc w:val="both"/>
      </w:pPr>
      <w:r>
        <w:t xml:space="preserve">Agreeing </w:t>
      </w:r>
      <w:r w:rsidR="00386DFF">
        <w:t xml:space="preserve">that the </w:t>
      </w:r>
      <w:r>
        <w:t>appeal should be allowed but ‘I am less inclined to agree, however, that the divergence [between inference and imputation] is unlikely to make a difference in practice… Indeed, it seems to me that a markedly and obviously different mode of analysis will generally be required’ (Lord Kerr, ¶ 67)</w:t>
      </w:r>
    </w:p>
    <w:p w:rsidR="003749EC" w:rsidRDefault="003749EC" w:rsidP="003749EC">
      <w:pPr>
        <w:pStyle w:val="ListParagraph"/>
        <w:spacing w:line="276" w:lineRule="auto"/>
        <w:ind w:left="1080"/>
        <w:jc w:val="both"/>
      </w:pPr>
    </w:p>
    <w:p w:rsidR="003749EC" w:rsidRDefault="003749EC" w:rsidP="003749EC">
      <w:pPr>
        <w:pStyle w:val="ListParagraph"/>
        <w:numPr>
          <w:ilvl w:val="0"/>
          <w:numId w:val="8"/>
        </w:numPr>
        <w:spacing w:line="276" w:lineRule="auto"/>
        <w:jc w:val="both"/>
      </w:pPr>
      <w:r>
        <w:t>Generally, the court should attempt to divine the parties’ actual intentions: “There is a natural inclination to prefer inferring an intention to imputing one… but the conscientious quest to discover the parties’ actual intention should cease when it becomes clear either that this is simply not deducible from the evidence of that no common intention exists’ (Lord Kerr, ¶ 72)</w:t>
      </w:r>
    </w:p>
    <w:p w:rsidR="003749EC" w:rsidRDefault="003749EC" w:rsidP="003749EC">
      <w:pPr>
        <w:pStyle w:val="ListParagraph"/>
      </w:pPr>
    </w:p>
    <w:p w:rsidR="003749EC" w:rsidRDefault="001750EA" w:rsidP="003749EC">
      <w:pPr>
        <w:pStyle w:val="ListParagraph"/>
        <w:numPr>
          <w:ilvl w:val="0"/>
          <w:numId w:val="8"/>
        </w:numPr>
        <w:spacing w:line="276" w:lineRule="auto"/>
        <w:jc w:val="both"/>
      </w:pPr>
      <w:r>
        <w:t xml:space="preserve">Bare facts of Mr </w:t>
      </w:r>
      <w:proofErr w:type="spellStart"/>
      <w:r>
        <w:t>Kernott’s</w:t>
      </w:r>
      <w:proofErr w:type="spellEnd"/>
      <w:r>
        <w:t xml:space="preserve"> departure in 1993 and acquisition of another property ‘are a slender foundation on which to conclude that he had entirely abandoned whatever stake he had in the previously shared property’ (Lord Kerr, ¶ 76)</w:t>
      </w:r>
    </w:p>
    <w:p w:rsidR="001750EA" w:rsidRDefault="001750EA" w:rsidP="001750EA">
      <w:pPr>
        <w:pStyle w:val="ListParagraph"/>
      </w:pPr>
    </w:p>
    <w:p w:rsidR="001750EA" w:rsidRDefault="001750EA" w:rsidP="003749EC">
      <w:pPr>
        <w:pStyle w:val="ListParagraph"/>
        <w:numPr>
          <w:ilvl w:val="0"/>
          <w:numId w:val="8"/>
        </w:numPr>
        <w:spacing w:line="276" w:lineRule="auto"/>
        <w:jc w:val="both"/>
      </w:pPr>
      <w:r>
        <w:t xml:space="preserve">Lord Kerr prefers to allow the appeal on the basis that this intention cannot be inferred but should be imputed (¶ 77). </w:t>
      </w:r>
    </w:p>
    <w:p w:rsidR="001750EA" w:rsidRDefault="001750EA" w:rsidP="00697443">
      <w:pPr>
        <w:spacing w:line="276" w:lineRule="auto"/>
        <w:jc w:val="both"/>
      </w:pPr>
    </w:p>
    <w:p w:rsidR="001750EA" w:rsidRDefault="001750EA" w:rsidP="00697443">
      <w:pPr>
        <w:spacing w:line="276" w:lineRule="auto"/>
        <w:jc w:val="both"/>
        <w:rPr>
          <w:u w:val="single"/>
        </w:rPr>
      </w:pPr>
      <w:r>
        <w:rPr>
          <w:u w:val="single"/>
        </w:rPr>
        <w:t>Dissenting judgment of Lord Wilson</w:t>
      </w:r>
    </w:p>
    <w:p w:rsidR="001750EA" w:rsidRPr="001750EA" w:rsidRDefault="001750EA" w:rsidP="001750EA">
      <w:pPr>
        <w:pStyle w:val="ListParagraph"/>
        <w:numPr>
          <w:ilvl w:val="0"/>
          <w:numId w:val="9"/>
        </w:numPr>
        <w:spacing w:line="276" w:lineRule="auto"/>
        <w:jc w:val="both"/>
      </w:pPr>
      <w:r w:rsidRPr="001750EA">
        <w:t xml:space="preserve">Approves </w:t>
      </w:r>
      <w:r>
        <w:t xml:space="preserve">of the court’s power to impute an intention (cf. </w:t>
      </w:r>
      <w:r>
        <w:rPr>
          <w:i/>
        </w:rPr>
        <w:t xml:space="preserve">Oxley v </w:t>
      </w:r>
      <w:proofErr w:type="spellStart"/>
      <w:r>
        <w:rPr>
          <w:i/>
        </w:rPr>
        <w:t>Hiscock</w:t>
      </w:r>
      <w:proofErr w:type="spellEnd"/>
      <w:r>
        <w:rPr>
          <w:i/>
        </w:rPr>
        <w:t xml:space="preserve">), </w:t>
      </w:r>
      <w:r w:rsidRPr="001750EA">
        <w:t xml:space="preserve">and </w:t>
      </w:r>
      <w:r>
        <w:t xml:space="preserve">respectfully disagrees with part of Lady Hale’s judgment in </w:t>
      </w:r>
      <w:r>
        <w:rPr>
          <w:i/>
        </w:rPr>
        <w:t xml:space="preserve">Stack v Dowden </w:t>
      </w:r>
      <w:r w:rsidR="00386DFF">
        <w:t>which appears to call that into question (‘it does not enable the court to abandon that search in favour of the result which the court itself considers fair’) ¶ 85</w:t>
      </w:r>
    </w:p>
    <w:p w:rsidR="00386DFF" w:rsidRDefault="00386DFF" w:rsidP="00697443">
      <w:pPr>
        <w:spacing w:line="276" w:lineRule="auto"/>
        <w:jc w:val="both"/>
        <w:rPr>
          <w:u w:val="single"/>
        </w:rPr>
      </w:pPr>
    </w:p>
    <w:p w:rsidR="00386DFF" w:rsidRDefault="00386DFF" w:rsidP="00697443">
      <w:pPr>
        <w:spacing w:line="276" w:lineRule="auto"/>
        <w:jc w:val="both"/>
        <w:rPr>
          <w:u w:val="single"/>
        </w:rPr>
      </w:pPr>
    </w:p>
    <w:p w:rsidR="001750EA" w:rsidRPr="001750EA" w:rsidRDefault="001750EA" w:rsidP="00697443">
      <w:pPr>
        <w:spacing w:line="276" w:lineRule="auto"/>
        <w:jc w:val="both"/>
        <w:rPr>
          <w:u w:val="single"/>
        </w:rPr>
      </w:pPr>
      <w:r>
        <w:rPr>
          <w:u w:val="single"/>
        </w:rPr>
        <w:t>Conclusion</w:t>
      </w:r>
    </w:p>
    <w:p w:rsidR="00A070B9" w:rsidRDefault="009832CC" w:rsidP="00697443">
      <w:pPr>
        <w:pStyle w:val="ListParagraph"/>
        <w:numPr>
          <w:ilvl w:val="0"/>
          <w:numId w:val="11"/>
        </w:numPr>
        <w:spacing w:line="276" w:lineRule="auto"/>
        <w:jc w:val="both"/>
      </w:pPr>
      <w:r>
        <w:t>In law, as in math</w:t>
      </w:r>
      <w:r w:rsidR="00357963">
        <w:t>ematics</w:t>
      </w:r>
      <w:r>
        <w:t xml:space="preserve">, it is often easier to state the </w:t>
      </w:r>
      <w:r w:rsidR="00357963">
        <w:t xml:space="preserve">result </w:t>
      </w:r>
      <w:r>
        <w:t xml:space="preserve">than to ‘show your workings’ </w:t>
      </w:r>
      <w:r w:rsidR="00357963">
        <w:t>and explain how the outcome was reached.</w:t>
      </w:r>
    </w:p>
    <w:p w:rsidR="00A070B9" w:rsidRDefault="00A070B9" w:rsidP="00A070B9">
      <w:pPr>
        <w:pStyle w:val="ListParagraph"/>
        <w:spacing w:line="276" w:lineRule="auto"/>
        <w:ind w:left="1080"/>
        <w:jc w:val="both"/>
      </w:pPr>
    </w:p>
    <w:p w:rsidR="00A070B9" w:rsidRDefault="00B51CC9" w:rsidP="00697443">
      <w:pPr>
        <w:pStyle w:val="ListParagraph"/>
        <w:numPr>
          <w:ilvl w:val="0"/>
          <w:numId w:val="11"/>
        </w:numPr>
        <w:spacing w:line="276" w:lineRule="auto"/>
        <w:jc w:val="both"/>
      </w:pPr>
      <w:r>
        <w:t xml:space="preserve">While all of the </w:t>
      </w:r>
      <w:r w:rsidR="00357963">
        <w:t>five Justices of the Supreme Court agreed</w:t>
      </w:r>
      <w:r>
        <w:t xml:space="preserve"> to restore the decision of the trial judge, </w:t>
      </w:r>
      <w:r w:rsidR="00EF3A28">
        <w:t xml:space="preserve">the reasoning of the majority was </w:t>
      </w:r>
      <w:r w:rsidR="00DC650C">
        <w:t xml:space="preserve">significantly </w:t>
      </w:r>
      <w:r w:rsidR="00EF3A28">
        <w:t xml:space="preserve">different from the minority. </w:t>
      </w:r>
    </w:p>
    <w:p w:rsidR="00A070B9" w:rsidRDefault="00A070B9" w:rsidP="00A070B9">
      <w:pPr>
        <w:pStyle w:val="ListParagraph"/>
      </w:pPr>
    </w:p>
    <w:p w:rsidR="00A070B9" w:rsidRDefault="00A070B9" w:rsidP="00697443">
      <w:pPr>
        <w:pStyle w:val="ListParagraph"/>
        <w:numPr>
          <w:ilvl w:val="0"/>
          <w:numId w:val="11"/>
        </w:numPr>
        <w:spacing w:line="276" w:lineRule="auto"/>
        <w:jc w:val="both"/>
      </w:pPr>
      <w:r>
        <w:t xml:space="preserve">There seems to be consensus </w:t>
      </w:r>
      <w:r w:rsidR="009728FB">
        <w:t xml:space="preserve">in the Supreme Court </w:t>
      </w:r>
      <w:r>
        <w:t xml:space="preserve">that, where the intentions of the parties cannot be divined, the court </w:t>
      </w:r>
      <w:r w:rsidRPr="00DC650C">
        <w:rPr>
          <w:u w:val="single"/>
        </w:rPr>
        <w:t>can</w:t>
      </w:r>
      <w:r>
        <w:t xml:space="preserve"> legitimately ‘impute’ an intention which did not exist (</w:t>
      </w:r>
      <w:r w:rsidRPr="009728FB">
        <w:rPr>
          <w:i/>
        </w:rPr>
        <w:t xml:space="preserve">see Lord Neuberger’s opinion in </w:t>
      </w:r>
      <w:r w:rsidRPr="009728FB">
        <w:t>Stack v Dowden</w:t>
      </w:r>
      <w:r w:rsidRPr="009728FB">
        <w:rPr>
          <w:i/>
        </w:rPr>
        <w:t xml:space="preserve"> </w:t>
      </w:r>
      <w:r w:rsidR="009728FB" w:rsidRPr="009728FB">
        <w:rPr>
          <w:i/>
        </w:rPr>
        <w:t xml:space="preserve">at ¶ 127 </w:t>
      </w:r>
      <w:r w:rsidRPr="009728FB">
        <w:rPr>
          <w:i/>
        </w:rPr>
        <w:t>for the contrary view)</w:t>
      </w:r>
      <w:r>
        <w:t xml:space="preserve">, </w:t>
      </w:r>
    </w:p>
    <w:p w:rsidR="00A070B9" w:rsidRDefault="00A070B9" w:rsidP="00A070B9">
      <w:pPr>
        <w:pStyle w:val="ListParagraph"/>
      </w:pPr>
    </w:p>
    <w:p w:rsidR="00EF3A28" w:rsidRDefault="00A070B9" w:rsidP="00697443">
      <w:pPr>
        <w:pStyle w:val="ListParagraph"/>
        <w:numPr>
          <w:ilvl w:val="0"/>
          <w:numId w:val="11"/>
        </w:numPr>
        <w:spacing w:line="276" w:lineRule="auto"/>
        <w:jc w:val="both"/>
      </w:pPr>
      <w:r>
        <w:t>However, it is noteworthy that the Supreme Court reached such different conclusions on the facts of this case, i.e. three Justices found the events around the parties separation provided ‘clear’ evidence of a changed common intention; whereas Lords Kerr and Wilson considered these ‘a slender foundation’ and preferred to impute an objective view of what seemed fair.</w:t>
      </w:r>
    </w:p>
    <w:p w:rsidR="009728FB" w:rsidRDefault="009728FB" w:rsidP="009728FB">
      <w:pPr>
        <w:pStyle w:val="ListParagraph"/>
      </w:pPr>
    </w:p>
    <w:p w:rsidR="00A070B9" w:rsidRPr="00DC650C" w:rsidRDefault="00DC650C" w:rsidP="00A070B9">
      <w:pPr>
        <w:pStyle w:val="ListParagraph"/>
        <w:numPr>
          <w:ilvl w:val="0"/>
          <w:numId w:val="11"/>
        </w:numPr>
        <w:spacing w:line="276" w:lineRule="auto"/>
        <w:jc w:val="both"/>
        <w:rPr>
          <w:szCs w:val="24"/>
        </w:rPr>
      </w:pPr>
      <w:r>
        <w:t xml:space="preserve">While some points have been clarified (imputation, approval of </w:t>
      </w:r>
      <w:r w:rsidRPr="00DC650C">
        <w:rPr>
          <w:i/>
        </w:rPr>
        <w:t xml:space="preserve">Oxley v </w:t>
      </w:r>
      <w:proofErr w:type="spellStart"/>
      <w:r w:rsidRPr="00DC650C">
        <w:rPr>
          <w:i/>
        </w:rPr>
        <w:t>Hiscock</w:t>
      </w:r>
      <w:proofErr w:type="spellEnd"/>
      <w:r>
        <w:t xml:space="preserve"> approach to quantification</w:t>
      </w:r>
      <w:r w:rsidRPr="00DC650C">
        <w:rPr>
          <w:i/>
        </w:rPr>
        <w:t>)</w:t>
      </w:r>
      <w:r>
        <w:t xml:space="preserve">, in other respects serious doubt remains, particular as to </w:t>
      </w:r>
      <w:r w:rsidRPr="00DC650C">
        <w:rPr>
          <w:u w:val="single"/>
        </w:rPr>
        <w:t>how</w:t>
      </w:r>
      <w:r>
        <w:t xml:space="preserve"> the court should ‘infer’ or ‘impute’ common intention. </w:t>
      </w:r>
    </w:p>
    <w:p w:rsidR="00A070B9" w:rsidRPr="00B0647C" w:rsidRDefault="00A070B9" w:rsidP="00A070B9">
      <w:pPr>
        <w:jc w:val="both"/>
        <w:rPr>
          <w:szCs w:val="24"/>
        </w:rPr>
      </w:pPr>
    </w:p>
    <w:tbl>
      <w:tblPr>
        <w:tblStyle w:val="TableGrid"/>
        <w:tblW w:w="932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5637"/>
        <w:gridCol w:w="3685"/>
      </w:tblGrid>
      <w:tr w:rsidR="00A070B9" w:rsidRPr="00B0647C" w:rsidTr="009A5FB1">
        <w:tc>
          <w:tcPr>
            <w:tcW w:w="5637" w:type="dxa"/>
          </w:tcPr>
          <w:p w:rsidR="00A070B9" w:rsidRPr="00B0647C" w:rsidRDefault="00A070B9" w:rsidP="009A5FB1">
            <w:pPr>
              <w:jc w:val="right"/>
              <w:rPr>
                <w:szCs w:val="24"/>
              </w:rPr>
            </w:pPr>
          </w:p>
        </w:tc>
        <w:tc>
          <w:tcPr>
            <w:tcW w:w="3685" w:type="dxa"/>
          </w:tcPr>
          <w:p w:rsidR="00A070B9" w:rsidRPr="00B0647C" w:rsidRDefault="00A070B9" w:rsidP="009A5FB1">
            <w:pPr>
              <w:rPr>
                <w:szCs w:val="24"/>
              </w:rPr>
            </w:pPr>
            <w:r w:rsidRPr="00B0647C">
              <w:rPr>
                <w:szCs w:val="24"/>
              </w:rPr>
              <w:t>Alexander Chandler</w:t>
            </w:r>
          </w:p>
        </w:tc>
      </w:tr>
      <w:tr w:rsidR="00A070B9" w:rsidRPr="00B0647C" w:rsidTr="009A5FB1">
        <w:tc>
          <w:tcPr>
            <w:tcW w:w="5637" w:type="dxa"/>
          </w:tcPr>
          <w:p w:rsidR="00A070B9" w:rsidRPr="00B0647C" w:rsidRDefault="00A070B9" w:rsidP="009A5FB1">
            <w:pPr>
              <w:jc w:val="right"/>
              <w:rPr>
                <w:szCs w:val="24"/>
              </w:rPr>
            </w:pPr>
          </w:p>
        </w:tc>
        <w:tc>
          <w:tcPr>
            <w:tcW w:w="3685" w:type="dxa"/>
          </w:tcPr>
          <w:p w:rsidR="00A070B9" w:rsidRPr="00B0647C" w:rsidRDefault="00A070B9" w:rsidP="009A5FB1">
            <w:pPr>
              <w:rPr>
                <w:szCs w:val="24"/>
              </w:rPr>
            </w:pPr>
            <w:r w:rsidRPr="00B0647C">
              <w:rPr>
                <w:szCs w:val="24"/>
              </w:rPr>
              <w:t>1 Garden Court, Temple, London</w:t>
            </w:r>
          </w:p>
        </w:tc>
      </w:tr>
    </w:tbl>
    <w:p w:rsidR="00A070B9" w:rsidRPr="00B0647C" w:rsidRDefault="00A070B9" w:rsidP="00A070B9">
      <w:pPr>
        <w:jc w:val="center"/>
        <w:rPr>
          <w:szCs w:val="24"/>
        </w:rPr>
      </w:pPr>
    </w:p>
    <w:p w:rsidR="0062778F" w:rsidRDefault="0062778F" w:rsidP="00697443">
      <w:pPr>
        <w:spacing w:line="276" w:lineRule="auto"/>
        <w:jc w:val="both"/>
      </w:pPr>
    </w:p>
    <w:p w:rsidR="0062778F" w:rsidRDefault="0062778F" w:rsidP="00697443">
      <w:pPr>
        <w:spacing w:line="276" w:lineRule="auto"/>
      </w:pPr>
    </w:p>
    <w:p w:rsidR="0062778F" w:rsidRDefault="0062778F" w:rsidP="00697443">
      <w:pPr>
        <w:spacing w:line="276" w:lineRule="auto"/>
      </w:pPr>
    </w:p>
    <w:sectPr w:rsidR="0062778F" w:rsidSect="006A2FE2">
      <w:pgSz w:w="11906" w:h="16838"/>
      <w:pgMar w:top="1440" w:right="1701" w:bottom="1440"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D983DA7"/>
    <w:multiLevelType w:val="hybridMultilevel"/>
    <w:tmpl w:val="1332AAD4"/>
    <w:lvl w:ilvl="0" w:tplc="426A50E6">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nsid w:val="15BF6BF5"/>
    <w:multiLevelType w:val="hybridMultilevel"/>
    <w:tmpl w:val="960CBF60"/>
    <w:lvl w:ilvl="0" w:tplc="21145AA6">
      <w:start w:val="1"/>
      <w:numFmt w:val="lowerLetter"/>
      <w:lvlText w:val="%1)"/>
      <w:lvlJc w:val="left"/>
      <w:pPr>
        <w:ind w:left="1800" w:hanging="360"/>
      </w:pPr>
      <w:rPr>
        <w:rFonts w:hint="default"/>
      </w:rPr>
    </w:lvl>
    <w:lvl w:ilvl="1" w:tplc="787E0F80">
      <w:start w:val="1"/>
      <w:numFmt w:val="decimal"/>
      <w:lvlText w:val="(%2)"/>
      <w:lvlJc w:val="left"/>
      <w:pPr>
        <w:ind w:left="2580" w:hanging="420"/>
      </w:pPr>
      <w:rPr>
        <w:rFonts w:hint="default"/>
      </w:r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2">
    <w:nsid w:val="253343BB"/>
    <w:multiLevelType w:val="hybridMultilevel"/>
    <w:tmpl w:val="C90C81EC"/>
    <w:lvl w:ilvl="0" w:tplc="7CE839E8">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nsid w:val="29B963FD"/>
    <w:multiLevelType w:val="hybridMultilevel"/>
    <w:tmpl w:val="3CEA4E6A"/>
    <w:lvl w:ilvl="0" w:tplc="08090011">
      <w:start w:val="1"/>
      <w:numFmt w:val="decimal"/>
      <w:lvlText w:val="%1)"/>
      <w:lvlJc w:val="left"/>
      <w:pPr>
        <w:ind w:left="2160" w:hanging="360"/>
      </w:pPr>
    </w:lvl>
    <w:lvl w:ilvl="1" w:tplc="08090019">
      <w:start w:val="1"/>
      <w:numFmt w:val="lowerLetter"/>
      <w:lvlText w:val="%2."/>
      <w:lvlJc w:val="left"/>
      <w:pPr>
        <w:ind w:left="2880" w:hanging="360"/>
      </w:pPr>
    </w:lvl>
    <w:lvl w:ilvl="2" w:tplc="0809001B" w:tentative="1">
      <w:start w:val="1"/>
      <w:numFmt w:val="lowerRoman"/>
      <w:lvlText w:val="%3."/>
      <w:lvlJc w:val="right"/>
      <w:pPr>
        <w:ind w:left="3600" w:hanging="180"/>
      </w:pPr>
    </w:lvl>
    <w:lvl w:ilvl="3" w:tplc="0809000F" w:tentative="1">
      <w:start w:val="1"/>
      <w:numFmt w:val="decimal"/>
      <w:lvlText w:val="%4."/>
      <w:lvlJc w:val="left"/>
      <w:pPr>
        <w:ind w:left="4320" w:hanging="360"/>
      </w:pPr>
    </w:lvl>
    <w:lvl w:ilvl="4" w:tplc="08090019" w:tentative="1">
      <w:start w:val="1"/>
      <w:numFmt w:val="lowerLetter"/>
      <w:lvlText w:val="%5."/>
      <w:lvlJc w:val="left"/>
      <w:pPr>
        <w:ind w:left="5040" w:hanging="360"/>
      </w:pPr>
    </w:lvl>
    <w:lvl w:ilvl="5" w:tplc="0809001B" w:tentative="1">
      <w:start w:val="1"/>
      <w:numFmt w:val="lowerRoman"/>
      <w:lvlText w:val="%6."/>
      <w:lvlJc w:val="right"/>
      <w:pPr>
        <w:ind w:left="5760" w:hanging="180"/>
      </w:pPr>
    </w:lvl>
    <w:lvl w:ilvl="6" w:tplc="0809000F" w:tentative="1">
      <w:start w:val="1"/>
      <w:numFmt w:val="decimal"/>
      <w:lvlText w:val="%7."/>
      <w:lvlJc w:val="left"/>
      <w:pPr>
        <w:ind w:left="6480" w:hanging="360"/>
      </w:pPr>
    </w:lvl>
    <w:lvl w:ilvl="7" w:tplc="08090019" w:tentative="1">
      <w:start w:val="1"/>
      <w:numFmt w:val="lowerLetter"/>
      <w:lvlText w:val="%8."/>
      <w:lvlJc w:val="left"/>
      <w:pPr>
        <w:ind w:left="7200" w:hanging="360"/>
      </w:pPr>
    </w:lvl>
    <w:lvl w:ilvl="8" w:tplc="0809001B" w:tentative="1">
      <w:start w:val="1"/>
      <w:numFmt w:val="lowerRoman"/>
      <w:lvlText w:val="%9."/>
      <w:lvlJc w:val="right"/>
      <w:pPr>
        <w:ind w:left="7920" w:hanging="180"/>
      </w:pPr>
    </w:lvl>
  </w:abstractNum>
  <w:abstractNum w:abstractNumId="4">
    <w:nsid w:val="39D25BBC"/>
    <w:multiLevelType w:val="hybridMultilevel"/>
    <w:tmpl w:val="8D208170"/>
    <w:lvl w:ilvl="0" w:tplc="A4109DB4">
      <w:start w:val="7"/>
      <w:numFmt w:val="bullet"/>
      <w:lvlText w:val="-"/>
      <w:lvlJc w:val="left"/>
      <w:pPr>
        <w:ind w:left="720" w:hanging="360"/>
      </w:pPr>
      <w:rPr>
        <w:rFonts w:ascii="Times New Roman" w:eastAsiaTheme="minorHAnsi"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nsid w:val="45F920D4"/>
    <w:multiLevelType w:val="hybridMultilevel"/>
    <w:tmpl w:val="55D0727A"/>
    <w:lvl w:ilvl="0" w:tplc="54E099F2">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nsid w:val="536F215A"/>
    <w:multiLevelType w:val="hybridMultilevel"/>
    <w:tmpl w:val="C92EA3CA"/>
    <w:lvl w:ilvl="0" w:tplc="BB86764C">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nsid w:val="5F0345FD"/>
    <w:multiLevelType w:val="hybridMultilevel"/>
    <w:tmpl w:val="5BBEDE74"/>
    <w:lvl w:ilvl="0" w:tplc="21145AA6">
      <w:start w:val="1"/>
      <w:numFmt w:val="lowerLetter"/>
      <w:lvlText w:val="%1)"/>
      <w:lvlJc w:val="left"/>
      <w:pPr>
        <w:ind w:left="3240" w:hanging="360"/>
      </w:pPr>
      <w:rPr>
        <w:rFonts w:hint="default"/>
      </w:rPr>
    </w:lvl>
    <w:lvl w:ilvl="1" w:tplc="08090019" w:tentative="1">
      <w:start w:val="1"/>
      <w:numFmt w:val="lowerLetter"/>
      <w:lvlText w:val="%2."/>
      <w:lvlJc w:val="left"/>
      <w:pPr>
        <w:ind w:left="2880" w:hanging="360"/>
      </w:pPr>
    </w:lvl>
    <w:lvl w:ilvl="2" w:tplc="0809001B">
      <w:start w:val="1"/>
      <w:numFmt w:val="lowerRoman"/>
      <w:lvlText w:val="%3."/>
      <w:lvlJc w:val="right"/>
      <w:pPr>
        <w:ind w:left="3600" w:hanging="180"/>
      </w:pPr>
    </w:lvl>
    <w:lvl w:ilvl="3" w:tplc="0809000F" w:tentative="1">
      <w:start w:val="1"/>
      <w:numFmt w:val="decimal"/>
      <w:lvlText w:val="%4."/>
      <w:lvlJc w:val="left"/>
      <w:pPr>
        <w:ind w:left="4320" w:hanging="360"/>
      </w:pPr>
    </w:lvl>
    <w:lvl w:ilvl="4" w:tplc="08090019" w:tentative="1">
      <w:start w:val="1"/>
      <w:numFmt w:val="lowerLetter"/>
      <w:lvlText w:val="%5."/>
      <w:lvlJc w:val="left"/>
      <w:pPr>
        <w:ind w:left="5040" w:hanging="360"/>
      </w:pPr>
    </w:lvl>
    <w:lvl w:ilvl="5" w:tplc="0809001B" w:tentative="1">
      <w:start w:val="1"/>
      <w:numFmt w:val="lowerRoman"/>
      <w:lvlText w:val="%6."/>
      <w:lvlJc w:val="right"/>
      <w:pPr>
        <w:ind w:left="5760" w:hanging="180"/>
      </w:pPr>
    </w:lvl>
    <w:lvl w:ilvl="6" w:tplc="0809000F" w:tentative="1">
      <w:start w:val="1"/>
      <w:numFmt w:val="decimal"/>
      <w:lvlText w:val="%7."/>
      <w:lvlJc w:val="left"/>
      <w:pPr>
        <w:ind w:left="6480" w:hanging="360"/>
      </w:pPr>
    </w:lvl>
    <w:lvl w:ilvl="7" w:tplc="08090019" w:tentative="1">
      <w:start w:val="1"/>
      <w:numFmt w:val="lowerLetter"/>
      <w:lvlText w:val="%8."/>
      <w:lvlJc w:val="left"/>
      <w:pPr>
        <w:ind w:left="7200" w:hanging="360"/>
      </w:pPr>
    </w:lvl>
    <w:lvl w:ilvl="8" w:tplc="0809001B" w:tentative="1">
      <w:start w:val="1"/>
      <w:numFmt w:val="lowerRoman"/>
      <w:lvlText w:val="%9."/>
      <w:lvlJc w:val="right"/>
      <w:pPr>
        <w:ind w:left="7920" w:hanging="180"/>
      </w:pPr>
    </w:lvl>
  </w:abstractNum>
  <w:abstractNum w:abstractNumId="8">
    <w:nsid w:val="60E04D63"/>
    <w:multiLevelType w:val="hybridMultilevel"/>
    <w:tmpl w:val="E4E6CA94"/>
    <w:lvl w:ilvl="0" w:tplc="BEDA3A60">
      <w:start w:val="1"/>
      <w:numFmt w:val="lowerLetter"/>
      <w:lvlText w:val="%1)"/>
      <w:lvlJc w:val="left"/>
      <w:pPr>
        <w:ind w:left="1800" w:hanging="360"/>
      </w:pPr>
      <w:rPr>
        <w:rFonts w:hint="default"/>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9">
    <w:nsid w:val="64BF505B"/>
    <w:multiLevelType w:val="hybridMultilevel"/>
    <w:tmpl w:val="EA22987E"/>
    <w:lvl w:ilvl="0" w:tplc="08090011">
      <w:start w:val="1"/>
      <w:numFmt w:val="decimal"/>
      <w:lvlText w:val="%1)"/>
      <w:lvlJc w:val="left"/>
      <w:pPr>
        <w:ind w:left="1800" w:hanging="360"/>
      </w:p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10">
    <w:nsid w:val="6D9C539A"/>
    <w:multiLevelType w:val="hybridMultilevel"/>
    <w:tmpl w:val="535AF91C"/>
    <w:lvl w:ilvl="0" w:tplc="EEB2A70E">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4"/>
  </w:num>
  <w:num w:numId="2">
    <w:abstractNumId w:val="8"/>
  </w:num>
  <w:num w:numId="3">
    <w:abstractNumId w:val="10"/>
  </w:num>
  <w:num w:numId="4">
    <w:abstractNumId w:val="1"/>
  </w:num>
  <w:num w:numId="5">
    <w:abstractNumId w:val="7"/>
  </w:num>
  <w:num w:numId="6">
    <w:abstractNumId w:val="3"/>
  </w:num>
  <w:num w:numId="7">
    <w:abstractNumId w:val="9"/>
  </w:num>
  <w:num w:numId="8">
    <w:abstractNumId w:val="2"/>
  </w:num>
  <w:num w:numId="9">
    <w:abstractNumId w:val="0"/>
  </w:num>
  <w:num w:numId="10">
    <w:abstractNumId w:val="6"/>
  </w:num>
  <w:num w:numId="11">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20"/>
  <w:drawingGridHorizontalSpacing w:val="120"/>
  <w:displayHorizontalDrawingGridEvery w:val="2"/>
  <w:characterSpacingControl w:val="doNotCompress"/>
  <w:savePreviewPicture/>
  <w:compat/>
  <w:rsids>
    <w:rsidRoot w:val="0062778F"/>
    <w:rsid w:val="000B4652"/>
    <w:rsid w:val="001750EA"/>
    <w:rsid w:val="001920EC"/>
    <w:rsid w:val="00357963"/>
    <w:rsid w:val="003749EC"/>
    <w:rsid w:val="00386DFF"/>
    <w:rsid w:val="004F6339"/>
    <w:rsid w:val="005033FC"/>
    <w:rsid w:val="005618EF"/>
    <w:rsid w:val="0062778F"/>
    <w:rsid w:val="00697443"/>
    <w:rsid w:val="006A2FE2"/>
    <w:rsid w:val="006E71BC"/>
    <w:rsid w:val="007245F7"/>
    <w:rsid w:val="0077575E"/>
    <w:rsid w:val="0078518B"/>
    <w:rsid w:val="00823182"/>
    <w:rsid w:val="008A5BAD"/>
    <w:rsid w:val="009728FB"/>
    <w:rsid w:val="009832CC"/>
    <w:rsid w:val="009C4A8F"/>
    <w:rsid w:val="00A070B9"/>
    <w:rsid w:val="00B51CC9"/>
    <w:rsid w:val="00DA2200"/>
    <w:rsid w:val="00DC650C"/>
    <w:rsid w:val="00DD6D0A"/>
    <w:rsid w:val="00EC0800"/>
    <w:rsid w:val="00EF3A28"/>
    <w:rsid w:val="00FA7CF6"/>
    <w:rsid w:val="00FC1253"/>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Street"/>
  <w:smartTagType w:namespaceuri="urn:schemas-microsoft-com:office:smarttags" w:name="address"/>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8518B"/>
    <w:pPr>
      <w:spacing w:line="360" w:lineRule="auto"/>
    </w:pPr>
    <w:rPr>
      <w:rFonts w:ascii="Times New Roman" w:hAnsi="Times New Roman"/>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ara">
    <w:name w:val="Para"/>
    <w:basedOn w:val="Normal"/>
    <w:uiPriority w:val="99"/>
    <w:rsid w:val="009C4A8F"/>
    <w:pPr>
      <w:widowControl w:val="0"/>
      <w:tabs>
        <w:tab w:val="left" w:pos="567"/>
      </w:tabs>
      <w:spacing w:before="120" w:after="0" w:line="240" w:lineRule="auto"/>
    </w:pPr>
    <w:rPr>
      <w:rFonts w:eastAsia="Times New Roman" w:cs="Times New Roman"/>
      <w:color w:val="000000"/>
      <w:szCs w:val="24"/>
    </w:rPr>
  </w:style>
  <w:style w:type="paragraph" w:styleId="ListParagraph">
    <w:name w:val="List Paragraph"/>
    <w:basedOn w:val="Normal"/>
    <w:uiPriority w:val="34"/>
    <w:qFormat/>
    <w:rsid w:val="001920EC"/>
    <w:pPr>
      <w:ind w:left="720"/>
      <w:contextualSpacing/>
    </w:pPr>
  </w:style>
  <w:style w:type="table" w:styleId="TableGrid">
    <w:name w:val="Table Grid"/>
    <w:basedOn w:val="TableNormal"/>
    <w:rsid w:val="00A070B9"/>
    <w:pPr>
      <w:spacing w:after="0" w:line="240" w:lineRule="auto"/>
    </w:pPr>
    <w:rPr>
      <w:rFonts w:ascii="Times New Roman" w:eastAsia="Times New Roman" w:hAnsi="Times New Roman" w:cs="Times New Roman"/>
      <w:sz w:val="20"/>
      <w:szCs w:val="20"/>
      <w:lang w:eastAsia="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1610</Words>
  <Characters>9179</Characters>
  <Application>Microsoft Office Word</Application>
  <DocSecurity>0</DocSecurity>
  <Lines>76</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10768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Alexander Chandler</dc:creator>
  <cp:lastModifiedBy>Alexander Chandler</cp:lastModifiedBy>
  <cp:revision>2</cp:revision>
  <cp:lastPrinted>2011-11-09T13:26:00Z</cp:lastPrinted>
  <dcterms:created xsi:type="dcterms:W3CDTF">2011-12-08T18:12:00Z</dcterms:created>
  <dcterms:modified xsi:type="dcterms:W3CDTF">2011-12-08T18:12:00Z</dcterms:modified>
</cp:coreProperties>
</file>