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76FB" w:rsidRPr="002C3444" w:rsidRDefault="009A76FB" w:rsidP="00792DA2">
      <w:pPr>
        <w:jc w:val="right"/>
        <w:rPr>
          <w:rFonts w:ascii="Times New Roman" w:hAnsi="Times New Roman" w:cs="Times New Roman"/>
        </w:rPr>
      </w:pPr>
    </w:p>
    <w:p w:rsidR="00792DA2" w:rsidRPr="002C3444" w:rsidRDefault="00792DA2" w:rsidP="00792DA2">
      <w:pPr>
        <w:jc w:val="right"/>
        <w:rPr>
          <w:rFonts w:ascii="Times New Roman" w:hAnsi="Times New Roman" w:cs="Times New Roman"/>
        </w:rPr>
      </w:pPr>
    </w:p>
    <w:p w:rsidR="007D3393" w:rsidRPr="002C3444" w:rsidRDefault="007D3393" w:rsidP="00792DA2">
      <w:pPr>
        <w:jc w:val="right"/>
        <w:rPr>
          <w:rFonts w:ascii="Times New Roman" w:hAnsi="Times New Roman" w:cs="Times New Roman"/>
        </w:rPr>
      </w:pPr>
    </w:p>
    <w:p w:rsidR="007D3393" w:rsidRPr="002C3444" w:rsidRDefault="007D3393" w:rsidP="00792DA2">
      <w:pPr>
        <w:jc w:val="right"/>
        <w:rPr>
          <w:rFonts w:ascii="Times New Roman" w:hAnsi="Times New Roman" w:cs="Times New Roman"/>
        </w:rPr>
      </w:pPr>
    </w:p>
    <w:p w:rsidR="007D3393" w:rsidRPr="002C3444" w:rsidRDefault="007D3393" w:rsidP="00792DA2">
      <w:pPr>
        <w:jc w:val="right"/>
        <w:rPr>
          <w:rFonts w:ascii="Times New Roman" w:hAnsi="Times New Roman" w:cs="Times New Roman"/>
        </w:rPr>
      </w:pPr>
    </w:p>
    <w:p w:rsidR="007D3393" w:rsidRPr="002C3444" w:rsidRDefault="007D3393" w:rsidP="007D3393">
      <w:pPr>
        <w:jc w:val="center"/>
        <w:rPr>
          <w:rFonts w:cs="Arial"/>
          <w:sz w:val="96"/>
          <w:szCs w:val="96"/>
        </w:rPr>
      </w:pPr>
      <w:r w:rsidRPr="002C3444">
        <w:rPr>
          <w:rFonts w:cs="Arial"/>
          <w:sz w:val="96"/>
          <w:szCs w:val="96"/>
        </w:rPr>
        <w:t>WORKSHOP A</w:t>
      </w:r>
    </w:p>
    <w:p w:rsidR="005F358F" w:rsidRPr="002C3444" w:rsidRDefault="00070003" w:rsidP="007D3393">
      <w:pPr>
        <w:jc w:val="center"/>
        <w:rPr>
          <w:rFonts w:cs="Arial"/>
          <w:b/>
          <w:sz w:val="72"/>
          <w:szCs w:val="72"/>
        </w:rPr>
      </w:pPr>
      <w:r w:rsidRPr="002C3444">
        <w:rPr>
          <w:rFonts w:cs="Arial"/>
          <w:b/>
          <w:sz w:val="72"/>
          <w:szCs w:val="72"/>
        </w:rPr>
        <w:t>Schedule 1 claims</w:t>
      </w:r>
    </w:p>
    <w:p w:rsidR="00070003" w:rsidRPr="002C3444" w:rsidRDefault="00070003" w:rsidP="007D3393">
      <w:pPr>
        <w:jc w:val="center"/>
        <w:rPr>
          <w:rFonts w:cs="Arial"/>
          <w:sz w:val="72"/>
          <w:szCs w:val="72"/>
        </w:rPr>
      </w:pPr>
      <w:r w:rsidRPr="002C3444">
        <w:rPr>
          <w:rFonts w:cs="Arial"/>
          <w:sz w:val="72"/>
          <w:szCs w:val="72"/>
        </w:rPr>
        <w:t>12.4.13/ 13.4.13</w:t>
      </w:r>
    </w:p>
    <w:p w:rsidR="00070003" w:rsidRPr="002C3444" w:rsidRDefault="00070003" w:rsidP="007D3393">
      <w:pPr>
        <w:jc w:val="center"/>
        <w:rPr>
          <w:rFonts w:ascii="Times New Roman" w:hAnsi="Times New Roman" w:cs="Times New Roman"/>
          <w:sz w:val="72"/>
          <w:szCs w:val="72"/>
        </w:rPr>
      </w:pPr>
    </w:p>
    <w:p w:rsidR="005F358F" w:rsidRPr="002C3444" w:rsidRDefault="005F358F">
      <w:pPr>
        <w:rPr>
          <w:rFonts w:ascii="Times New Roman" w:hAnsi="Times New Roman" w:cs="Times New Roman"/>
          <w:sz w:val="72"/>
          <w:szCs w:val="72"/>
        </w:rPr>
      </w:pPr>
      <w:r w:rsidRPr="002C3444">
        <w:rPr>
          <w:rFonts w:ascii="Times New Roman" w:hAnsi="Times New Roman" w:cs="Times New Roman"/>
          <w:sz w:val="72"/>
          <w:szCs w:val="72"/>
        </w:rPr>
        <w:br w:type="page"/>
      </w:r>
    </w:p>
    <w:p w:rsidR="00070003" w:rsidRPr="002C3444" w:rsidRDefault="00070003" w:rsidP="00070003">
      <w:pPr>
        <w:spacing w:line="360" w:lineRule="auto"/>
        <w:jc w:val="both"/>
        <w:rPr>
          <w:rFonts w:ascii="Times New Roman" w:hAnsi="Times New Roman" w:cs="Times New Roman"/>
          <w:b/>
          <w:sz w:val="24"/>
          <w:szCs w:val="24"/>
        </w:rPr>
      </w:pPr>
      <w:r w:rsidRPr="002C3444">
        <w:rPr>
          <w:rFonts w:ascii="Times New Roman" w:hAnsi="Times New Roman" w:cs="Times New Roman"/>
          <w:b/>
          <w:sz w:val="24"/>
          <w:szCs w:val="24"/>
        </w:rPr>
        <w:lastRenderedPageBreak/>
        <w:t>INTRODUCTION</w:t>
      </w:r>
    </w:p>
    <w:p w:rsidR="00070003" w:rsidRPr="002C3444" w:rsidRDefault="00070003" w:rsidP="00070003">
      <w:pPr>
        <w:numPr>
          <w:ilvl w:val="0"/>
          <w:numId w:val="2"/>
        </w:numPr>
        <w:spacing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In the world of family law, a claim for financial provision under Schedule 1 to the </w:t>
      </w:r>
      <w:r w:rsidRPr="002C3444">
        <w:rPr>
          <w:rFonts w:ascii="Times New Roman" w:hAnsi="Times New Roman" w:cs="Times New Roman"/>
          <w:sz w:val="24"/>
          <w:szCs w:val="24"/>
          <w:u w:val="single"/>
        </w:rPr>
        <w:t>Children Act 1989</w:t>
      </w:r>
      <w:r w:rsidRPr="002C3444">
        <w:rPr>
          <w:rFonts w:ascii="Times New Roman" w:hAnsi="Times New Roman" w:cs="Times New Roman"/>
          <w:sz w:val="24"/>
          <w:szCs w:val="24"/>
        </w:rPr>
        <w:t xml:space="preserve"> (hereafter ‘Sch. 1’) has always been somewhat of an island, with its own distinct rules, pitfalls and practices, </w:t>
      </w:r>
      <w:r w:rsidR="007B3DF0">
        <w:rPr>
          <w:rFonts w:ascii="Times New Roman" w:hAnsi="Times New Roman" w:cs="Times New Roman"/>
          <w:sz w:val="24"/>
          <w:szCs w:val="24"/>
        </w:rPr>
        <w:t xml:space="preserve">distinct </w:t>
      </w:r>
      <w:r w:rsidRPr="002C3444">
        <w:rPr>
          <w:rFonts w:ascii="Times New Roman" w:hAnsi="Times New Roman" w:cs="Times New Roman"/>
          <w:sz w:val="24"/>
          <w:szCs w:val="24"/>
        </w:rPr>
        <w:t>from mainstream ancillary relief.</w:t>
      </w:r>
    </w:p>
    <w:p w:rsidR="00070003" w:rsidRPr="002C3444" w:rsidRDefault="00070003" w:rsidP="00070003">
      <w:pPr>
        <w:spacing w:line="360" w:lineRule="auto"/>
        <w:ind w:left="720" w:hanging="720"/>
        <w:contextualSpacing/>
        <w:jc w:val="both"/>
        <w:rPr>
          <w:rFonts w:ascii="Times New Roman" w:hAnsi="Times New Roman" w:cs="Times New Roman"/>
          <w:sz w:val="24"/>
          <w:szCs w:val="24"/>
        </w:rPr>
      </w:pPr>
    </w:p>
    <w:p w:rsidR="00070003" w:rsidRPr="002C3444" w:rsidRDefault="00070003" w:rsidP="00070003">
      <w:pPr>
        <w:numPr>
          <w:ilvl w:val="0"/>
          <w:numId w:val="2"/>
        </w:numPr>
        <w:spacing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The court’s powers at Sch. 1 are limited – and were further reduced by </w:t>
      </w:r>
      <w:proofErr w:type="gramStart"/>
      <w:r w:rsidRPr="002C3444">
        <w:rPr>
          <w:rFonts w:ascii="Times New Roman" w:hAnsi="Times New Roman" w:cs="Times New Roman"/>
          <w:sz w:val="24"/>
          <w:szCs w:val="24"/>
        </w:rPr>
        <w:t>s.8(</w:t>
      </w:r>
      <w:proofErr w:type="gramEnd"/>
      <w:r w:rsidRPr="002C3444">
        <w:rPr>
          <w:rFonts w:ascii="Times New Roman" w:hAnsi="Times New Roman" w:cs="Times New Roman"/>
          <w:sz w:val="24"/>
          <w:szCs w:val="24"/>
        </w:rPr>
        <w:t xml:space="preserve">3) of the </w:t>
      </w:r>
      <w:r w:rsidRPr="002C3444">
        <w:rPr>
          <w:rFonts w:ascii="Times New Roman" w:hAnsi="Times New Roman" w:cs="Times New Roman"/>
          <w:sz w:val="24"/>
          <w:szCs w:val="24"/>
          <w:u w:val="single"/>
        </w:rPr>
        <w:t>Child Support Act 1991</w:t>
      </w:r>
      <w:r w:rsidRPr="002C3444">
        <w:rPr>
          <w:rFonts w:ascii="Times New Roman" w:hAnsi="Times New Roman" w:cs="Times New Roman"/>
          <w:sz w:val="24"/>
          <w:szCs w:val="24"/>
          <w:vertAlign w:val="superscript"/>
        </w:rPr>
        <w:footnoteReference w:id="1"/>
      </w:r>
      <w:r w:rsidRPr="002C3444">
        <w:rPr>
          <w:rFonts w:ascii="Times New Roman" w:hAnsi="Times New Roman" w:cs="Times New Roman"/>
          <w:sz w:val="24"/>
          <w:szCs w:val="24"/>
        </w:rPr>
        <w:t xml:space="preserve"> which </w:t>
      </w:r>
      <w:r w:rsidR="002B1E45">
        <w:rPr>
          <w:rFonts w:ascii="Times New Roman" w:hAnsi="Times New Roman" w:cs="Times New Roman"/>
          <w:sz w:val="24"/>
          <w:szCs w:val="24"/>
        </w:rPr>
        <w:t xml:space="preserve">removed </w:t>
      </w:r>
      <w:r w:rsidRPr="002C3444">
        <w:rPr>
          <w:rFonts w:ascii="Times New Roman" w:hAnsi="Times New Roman" w:cs="Times New Roman"/>
          <w:sz w:val="24"/>
          <w:szCs w:val="24"/>
        </w:rPr>
        <w:t xml:space="preserve">in </w:t>
      </w:r>
      <w:r w:rsidR="002B1E45">
        <w:rPr>
          <w:rFonts w:ascii="Times New Roman" w:hAnsi="Times New Roman" w:cs="Times New Roman"/>
          <w:sz w:val="24"/>
          <w:szCs w:val="24"/>
        </w:rPr>
        <w:t xml:space="preserve">most </w:t>
      </w:r>
      <w:r w:rsidRPr="002C3444">
        <w:rPr>
          <w:rFonts w:ascii="Times New Roman" w:hAnsi="Times New Roman" w:cs="Times New Roman"/>
          <w:sz w:val="24"/>
          <w:szCs w:val="24"/>
        </w:rPr>
        <w:t>cases the power to award maintenance</w:t>
      </w:r>
      <w:r w:rsidRPr="002C3444">
        <w:rPr>
          <w:rFonts w:ascii="Times New Roman" w:hAnsi="Times New Roman" w:cs="Times New Roman"/>
          <w:sz w:val="24"/>
          <w:szCs w:val="24"/>
          <w:vertAlign w:val="superscript"/>
        </w:rPr>
        <w:footnoteReference w:id="2"/>
      </w:r>
      <w:r w:rsidRPr="002C3444">
        <w:rPr>
          <w:rFonts w:ascii="Times New Roman" w:hAnsi="Times New Roman" w:cs="Times New Roman"/>
          <w:sz w:val="24"/>
          <w:szCs w:val="24"/>
        </w:rPr>
        <w:t>. This left three main classes of applicant for Sch. 1 relief:</w:t>
      </w:r>
    </w:p>
    <w:p w:rsidR="00070003" w:rsidRPr="002C3444" w:rsidRDefault="00070003" w:rsidP="00070003">
      <w:pPr>
        <w:numPr>
          <w:ilvl w:val="0"/>
          <w:numId w:val="6"/>
        </w:numPr>
        <w:spacing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the ex-girlfriends/ mistresses of the wealthy;</w:t>
      </w:r>
    </w:p>
    <w:p w:rsidR="00070003" w:rsidRPr="002C3444" w:rsidRDefault="00070003" w:rsidP="00070003">
      <w:pPr>
        <w:numPr>
          <w:ilvl w:val="0"/>
          <w:numId w:val="6"/>
        </w:numPr>
        <w:spacing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parents seeking a home during a child’s minority, as a free-standing application (with the powerful disincentive of reversion) or alongside a TOLATA claim;</w:t>
      </w:r>
    </w:p>
    <w:p w:rsidR="00070003" w:rsidRPr="002C3444" w:rsidRDefault="00070003" w:rsidP="00070003">
      <w:pPr>
        <w:numPr>
          <w:ilvl w:val="0"/>
          <w:numId w:val="6"/>
        </w:numPr>
        <w:spacing w:line="360" w:lineRule="auto"/>
        <w:ind w:hanging="720"/>
        <w:contextualSpacing/>
        <w:jc w:val="both"/>
        <w:rPr>
          <w:rFonts w:ascii="Times New Roman" w:hAnsi="Times New Roman" w:cs="Times New Roman"/>
          <w:sz w:val="24"/>
          <w:szCs w:val="24"/>
        </w:rPr>
      </w:pPr>
      <w:proofErr w:type="gramStart"/>
      <w:r w:rsidRPr="002C3444">
        <w:rPr>
          <w:rFonts w:ascii="Times New Roman" w:hAnsi="Times New Roman" w:cs="Times New Roman"/>
          <w:sz w:val="24"/>
          <w:szCs w:val="24"/>
        </w:rPr>
        <w:t>exceptionally</w:t>
      </w:r>
      <w:proofErr w:type="gramEnd"/>
      <w:r w:rsidRPr="002C3444">
        <w:rPr>
          <w:rFonts w:ascii="Times New Roman" w:hAnsi="Times New Roman" w:cs="Times New Roman"/>
          <w:sz w:val="24"/>
          <w:szCs w:val="24"/>
        </w:rPr>
        <w:t>, university students bold enough to sue a parent for maintenance</w:t>
      </w:r>
      <w:r w:rsidRPr="002C3444">
        <w:rPr>
          <w:rFonts w:ascii="Times New Roman" w:hAnsi="Times New Roman" w:cs="Times New Roman"/>
          <w:sz w:val="24"/>
          <w:szCs w:val="24"/>
          <w:vertAlign w:val="superscript"/>
        </w:rPr>
        <w:footnoteReference w:id="3"/>
      </w:r>
      <w:r w:rsidRPr="002C3444">
        <w:rPr>
          <w:rFonts w:ascii="Times New Roman" w:hAnsi="Times New Roman" w:cs="Times New Roman"/>
          <w:sz w:val="24"/>
          <w:szCs w:val="24"/>
        </w:rPr>
        <w:t>.</w:t>
      </w:r>
    </w:p>
    <w:p w:rsidR="00070003" w:rsidRPr="002C3444" w:rsidRDefault="00070003" w:rsidP="00070003">
      <w:pPr>
        <w:spacing w:line="360" w:lineRule="auto"/>
        <w:ind w:left="1800" w:hanging="720"/>
        <w:contextualSpacing/>
        <w:jc w:val="both"/>
        <w:rPr>
          <w:rFonts w:ascii="Times New Roman" w:hAnsi="Times New Roman" w:cs="Times New Roman"/>
          <w:sz w:val="24"/>
          <w:szCs w:val="24"/>
        </w:rPr>
      </w:pPr>
    </w:p>
    <w:p w:rsidR="00070003" w:rsidRPr="002C3444" w:rsidRDefault="00070003" w:rsidP="00070003">
      <w:pPr>
        <w:numPr>
          <w:ilvl w:val="0"/>
          <w:numId w:val="2"/>
        </w:numPr>
        <w:spacing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Under the old 1991 FPR, the procedure involved in a Sch. 1 claim was cumbersome (FPR 1991, r. 4.4) and inadequate (FPR 4.4; Forms C1, C10, C10A statement of means).</w:t>
      </w:r>
    </w:p>
    <w:p w:rsidR="00070003" w:rsidRPr="002C3444" w:rsidRDefault="00070003" w:rsidP="00070003">
      <w:pPr>
        <w:spacing w:line="360" w:lineRule="auto"/>
        <w:ind w:left="720"/>
        <w:contextualSpacing/>
        <w:jc w:val="both"/>
        <w:rPr>
          <w:rFonts w:ascii="Times New Roman" w:hAnsi="Times New Roman" w:cs="Times New Roman"/>
          <w:sz w:val="24"/>
          <w:szCs w:val="24"/>
        </w:rPr>
      </w:pPr>
    </w:p>
    <w:p w:rsidR="00070003" w:rsidRPr="002C3444" w:rsidRDefault="00070003" w:rsidP="00070003">
      <w:pPr>
        <w:spacing w:line="360" w:lineRule="auto"/>
        <w:ind w:left="720"/>
        <w:contextualSpacing/>
        <w:jc w:val="both"/>
        <w:rPr>
          <w:rFonts w:ascii="Times New Roman" w:hAnsi="Times New Roman" w:cs="Times New Roman"/>
          <w:sz w:val="24"/>
          <w:szCs w:val="24"/>
        </w:rPr>
      </w:pPr>
    </w:p>
    <w:p w:rsidR="00070003" w:rsidRPr="002C3444" w:rsidRDefault="00070003" w:rsidP="00070003">
      <w:pPr>
        <w:spacing w:line="360" w:lineRule="auto"/>
        <w:contextualSpacing/>
        <w:jc w:val="both"/>
        <w:rPr>
          <w:rFonts w:ascii="Times New Roman" w:hAnsi="Times New Roman" w:cs="Times New Roman"/>
          <w:b/>
          <w:sz w:val="24"/>
          <w:szCs w:val="24"/>
        </w:rPr>
      </w:pPr>
      <w:r w:rsidRPr="002C3444">
        <w:rPr>
          <w:rFonts w:ascii="Times New Roman" w:hAnsi="Times New Roman" w:cs="Times New Roman"/>
          <w:b/>
          <w:sz w:val="24"/>
          <w:szCs w:val="24"/>
        </w:rPr>
        <w:t>PROCEDURE</w:t>
      </w:r>
    </w:p>
    <w:p w:rsidR="00070003" w:rsidRPr="002C3444" w:rsidRDefault="00070003" w:rsidP="00070003">
      <w:pPr>
        <w:numPr>
          <w:ilvl w:val="0"/>
          <w:numId w:val="2"/>
        </w:numPr>
        <w:spacing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The </w:t>
      </w:r>
      <w:r w:rsidRPr="002C3444">
        <w:rPr>
          <w:rFonts w:ascii="Times New Roman" w:hAnsi="Times New Roman" w:cs="Times New Roman"/>
          <w:sz w:val="24"/>
          <w:szCs w:val="24"/>
          <w:u w:val="single"/>
        </w:rPr>
        <w:t>Family Procedure Rules 2010</w:t>
      </w:r>
      <w:r w:rsidRPr="002C3444">
        <w:rPr>
          <w:rFonts w:ascii="Times New Roman" w:hAnsi="Times New Roman" w:cs="Times New Roman"/>
          <w:sz w:val="24"/>
          <w:szCs w:val="24"/>
        </w:rPr>
        <w:t xml:space="preserve"> went some way to address the latter problem by harmonising the </w:t>
      </w:r>
      <w:r w:rsidR="002B1E45">
        <w:rPr>
          <w:rFonts w:ascii="Times New Roman" w:hAnsi="Times New Roman" w:cs="Times New Roman"/>
          <w:sz w:val="24"/>
          <w:szCs w:val="24"/>
        </w:rPr>
        <w:t xml:space="preserve">procedure </w:t>
      </w:r>
      <w:r w:rsidRPr="002C3444">
        <w:rPr>
          <w:rFonts w:ascii="Times New Roman" w:hAnsi="Times New Roman" w:cs="Times New Roman"/>
          <w:sz w:val="24"/>
          <w:szCs w:val="24"/>
        </w:rPr>
        <w:t xml:space="preserve">in Sch. 1 with ancillary relief, although </w:t>
      </w:r>
      <w:r w:rsidR="002B1E45">
        <w:rPr>
          <w:rFonts w:ascii="Times New Roman" w:hAnsi="Times New Roman" w:cs="Times New Roman"/>
          <w:sz w:val="24"/>
          <w:szCs w:val="24"/>
        </w:rPr>
        <w:t>the use of language was at times obscure:</w:t>
      </w:r>
    </w:p>
    <w:p w:rsidR="00070003" w:rsidRPr="002C3444" w:rsidRDefault="00070003" w:rsidP="00070003">
      <w:pPr>
        <w:pStyle w:val="ListParagraph"/>
        <w:numPr>
          <w:ilvl w:val="0"/>
          <w:numId w:val="24"/>
        </w:numPr>
        <w:spacing w:line="360" w:lineRule="auto"/>
        <w:jc w:val="both"/>
        <w:rPr>
          <w:rFonts w:ascii="Times New Roman" w:hAnsi="Times New Roman" w:cs="Times New Roman"/>
          <w:sz w:val="24"/>
          <w:szCs w:val="24"/>
        </w:rPr>
      </w:pPr>
      <w:r w:rsidRPr="002C3444">
        <w:rPr>
          <w:rFonts w:ascii="Times New Roman" w:hAnsi="Times New Roman" w:cs="Times New Roman"/>
          <w:sz w:val="24"/>
          <w:szCs w:val="24"/>
        </w:rPr>
        <w:lastRenderedPageBreak/>
        <w:t xml:space="preserve">henceforth, </w:t>
      </w:r>
      <w:r w:rsidR="002B1E45" w:rsidRPr="002C3444">
        <w:rPr>
          <w:rFonts w:ascii="Times New Roman" w:hAnsi="Times New Roman" w:cs="Times New Roman"/>
          <w:sz w:val="24"/>
          <w:szCs w:val="24"/>
        </w:rPr>
        <w:t xml:space="preserve">ancillary relief (re-branded as </w:t>
      </w:r>
      <w:r w:rsidR="002B1E45" w:rsidRPr="002B1E45">
        <w:rPr>
          <w:rFonts w:ascii="Times New Roman" w:hAnsi="Times New Roman" w:cs="Times New Roman"/>
          <w:b/>
          <w:sz w:val="24"/>
          <w:szCs w:val="24"/>
        </w:rPr>
        <w:t>‘financial orders’</w:t>
      </w:r>
      <w:r w:rsidR="002B1E45" w:rsidRPr="002C3444">
        <w:rPr>
          <w:rFonts w:ascii="Times New Roman" w:hAnsi="Times New Roman" w:cs="Times New Roman"/>
          <w:sz w:val="24"/>
          <w:szCs w:val="24"/>
        </w:rPr>
        <w:t xml:space="preserve">), Sch. </w:t>
      </w:r>
      <w:r w:rsidR="002B1E45">
        <w:rPr>
          <w:rFonts w:ascii="Times New Roman" w:hAnsi="Times New Roman" w:cs="Times New Roman"/>
          <w:sz w:val="24"/>
          <w:szCs w:val="24"/>
        </w:rPr>
        <w:t>1 claims, Part III claims etc. would be classified as ‘</w:t>
      </w:r>
      <w:r w:rsidR="002B1E45">
        <w:rPr>
          <w:rFonts w:ascii="Times New Roman" w:hAnsi="Times New Roman" w:cs="Times New Roman"/>
          <w:b/>
          <w:sz w:val="24"/>
          <w:szCs w:val="24"/>
        </w:rPr>
        <w:t xml:space="preserve">financial </w:t>
      </w:r>
      <w:r w:rsidR="002B1E45" w:rsidRPr="002B1E45">
        <w:rPr>
          <w:rFonts w:ascii="Times New Roman" w:hAnsi="Times New Roman" w:cs="Times New Roman"/>
          <w:b/>
          <w:sz w:val="24"/>
          <w:szCs w:val="24"/>
        </w:rPr>
        <w:t>remedies</w:t>
      </w:r>
      <w:r w:rsidR="002B1E45">
        <w:rPr>
          <w:rFonts w:ascii="Times New Roman" w:hAnsi="Times New Roman" w:cs="Times New Roman"/>
          <w:sz w:val="24"/>
          <w:szCs w:val="24"/>
        </w:rPr>
        <w:t xml:space="preserve">’ to which </w:t>
      </w:r>
      <w:r w:rsidRPr="002C3444">
        <w:rPr>
          <w:rFonts w:ascii="Times New Roman" w:hAnsi="Times New Roman" w:cs="Times New Roman"/>
          <w:sz w:val="24"/>
          <w:szCs w:val="24"/>
        </w:rPr>
        <w:t xml:space="preserve">Part 9 would </w:t>
      </w:r>
      <w:r w:rsidR="002B1E45">
        <w:rPr>
          <w:rFonts w:ascii="Times New Roman" w:hAnsi="Times New Roman" w:cs="Times New Roman"/>
          <w:sz w:val="24"/>
          <w:szCs w:val="24"/>
        </w:rPr>
        <w:t>apply</w:t>
      </w:r>
      <w:r w:rsidRPr="002C3444">
        <w:rPr>
          <w:rFonts w:ascii="Times New Roman" w:hAnsi="Times New Roman" w:cs="Times New Roman"/>
          <w:sz w:val="24"/>
          <w:szCs w:val="24"/>
        </w:rPr>
        <w:t>;</w:t>
      </w:r>
    </w:p>
    <w:p w:rsidR="00070003" w:rsidRPr="002C3444" w:rsidRDefault="002B1E45" w:rsidP="00070003">
      <w:pPr>
        <w:pStyle w:val="ListParagraph"/>
        <w:numPr>
          <w:ilvl w:val="0"/>
          <w:numId w:val="24"/>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difference remained, e.g. </w:t>
      </w:r>
      <w:r w:rsidR="00070003" w:rsidRPr="002C3444">
        <w:rPr>
          <w:rFonts w:ascii="Times New Roman" w:hAnsi="Times New Roman" w:cs="Times New Roman"/>
          <w:sz w:val="24"/>
          <w:szCs w:val="24"/>
        </w:rPr>
        <w:t>a Sch. 1 claim involves an abbreviated ‘Financial Statement’ (Form E1) in place of the old pro forma affidavit of means – but not the ‘full’ Form E;</w:t>
      </w:r>
    </w:p>
    <w:p w:rsidR="00070003" w:rsidRPr="002C3444" w:rsidRDefault="00070003" w:rsidP="002C3444">
      <w:pPr>
        <w:pStyle w:val="ListParagraph"/>
        <w:numPr>
          <w:ilvl w:val="0"/>
          <w:numId w:val="24"/>
        </w:numPr>
        <w:spacing w:line="360" w:lineRule="auto"/>
        <w:jc w:val="both"/>
        <w:rPr>
          <w:rFonts w:ascii="Times New Roman" w:hAnsi="Times New Roman" w:cs="Times New Roman"/>
          <w:sz w:val="24"/>
          <w:szCs w:val="24"/>
        </w:rPr>
      </w:pPr>
      <w:proofErr w:type="gramStart"/>
      <w:r w:rsidRPr="002C3444">
        <w:rPr>
          <w:rFonts w:ascii="Times New Roman" w:hAnsi="Times New Roman" w:cs="Times New Roman"/>
          <w:sz w:val="24"/>
          <w:szCs w:val="24"/>
        </w:rPr>
        <w:t>significantly</w:t>
      </w:r>
      <w:proofErr w:type="gramEnd"/>
      <w:r w:rsidRPr="002C3444">
        <w:rPr>
          <w:rFonts w:ascii="Times New Roman" w:hAnsi="Times New Roman" w:cs="Times New Roman"/>
          <w:sz w:val="24"/>
          <w:szCs w:val="24"/>
        </w:rPr>
        <w:t>, a Sch. 1 claim is excepted from the ‘general rule of no order as to costs principle’</w:t>
      </w:r>
      <w:r w:rsidRPr="002C3444">
        <w:rPr>
          <w:rStyle w:val="FootnoteReference"/>
          <w:rFonts w:ascii="Times New Roman" w:hAnsi="Times New Roman" w:cs="Times New Roman"/>
          <w:sz w:val="24"/>
          <w:szCs w:val="24"/>
        </w:rPr>
        <w:footnoteReference w:id="4"/>
      </w:r>
      <w:r w:rsidR="002B1E45">
        <w:rPr>
          <w:rFonts w:ascii="Times New Roman" w:hAnsi="Times New Roman" w:cs="Times New Roman"/>
          <w:sz w:val="24"/>
          <w:szCs w:val="24"/>
        </w:rPr>
        <w:t xml:space="preserve">, as it fell outside the classification of </w:t>
      </w:r>
      <w:r w:rsidR="002B1E45" w:rsidRPr="002B1E45">
        <w:rPr>
          <w:rFonts w:ascii="Times New Roman" w:hAnsi="Times New Roman" w:cs="Times New Roman"/>
          <w:b/>
          <w:sz w:val="24"/>
          <w:szCs w:val="24"/>
        </w:rPr>
        <w:t>‘financial remedy proceedings’</w:t>
      </w:r>
      <w:r w:rsidR="002B1E45">
        <w:rPr>
          <w:rFonts w:ascii="Times New Roman" w:hAnsi="Times New Roman" w:cs="Times New Roman"/>
          <w:sz w:val="24"/>
          <w:szCs w:val="24"/>
        </w:rPr>
        <w:t xml:space="preserve"> </w:t>
      </w:r>
      <w:r w:rsidRPr="002C3444">
        <w:rPr>
          <w:rFonts w:ascii="Times New Roman" w:hAnsi="Times New Roman" w:cs="Times New Roman"/>
          <w:sz w:val="24"/>
          <w:szCs w:val="24"/>
        </w:rPr>
        <w:t>(see below).</w:t>
      </w:r>
    </w:p>
    <w:p w:rsidR="002C3444" w:rsidRPr="002C3444" w:rsidRDefault="002C3444" w:rsidP="002C3444">
      <w:pPr>
        <w:pStyle w:val="ListParagraph"/>
        <w:spacing w:line="360" w:lineRule="auto"/>
        <w:ind w:left="1800"/>
        <w:jc w:val="both"/>
        <w:rPr>
          <w:rFonts w:ascii="Times New Roman" w:hAnsi="Times New Roman" w:cs="Times New Roman"/>
          <w:sz w:val="24"/>
          <w:szCs w:val="24"/>
        </w:rPr>
      </w:pPr>
    </w:p>
    <w:p w:rsidR="00070003" w:rsidRPr="002C3444" w:rsidRDefault="00070003" w:rsidP="002C3444">
      <w:pPr>
        <w:numPr>
          <w:ilvl w:val="0"/>
          <w:numId w:val="2"/>
        </w:numPr>
        <w:spacing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As a result, a Sch.1 claimant should now:</w:t>
      </w:r>
    </w:p>
    <w:p w:rsidR="00070003" w:rsidRPr="002C3444" w:rsidRDefault="00070003" w:rsidP="002C3444">
      <w:pPr>
        <w:numPr>
          <w:ilvl w:val="0"/>
          <w:numId w:val="3"/>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Comply with the two Pre-Application Protocols annexed to PD 9A (first letter, disclosure, general principles, identifying issues etc.) and PD 3A (mediation)</w:t>
      </w:r>
    </w:p>
    <w:p w:rsidR="00070003" w:rsidRPr="002C3444" w:rsidRDefault="00070003" w:rsidP="002C3444">
      <w:pPr>
        <w:numPr>
          <w:ilvl w:val="0"/>
          <w:numId w:val="3"/>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Exchange Forms E1 (12 pages) </w:t>
      </w:r>
      <w:r w:rsidRPr="002B1E45">
        <w:rPr>
          <w:rFonts w:ascii="Times New Roman" w:hAnsi="Times New Roman" w:cs="Times New Roman"/>
          <w:sz w:val="24"/>
          <w:szCs w:val="24"/>
          <w:u w:val="single"/>
        </w:rPr>
        <w:t xml:space="preserve">not </w:t>
      </w:r>
      <w:r w:rsidRPr="002C3444">
        <w:rPr>
          <w:rFonts w:ascii="Times New Roman" w:hAnsi="Times New Roman" w:cs="Times New Roman"/>
          <w:sz w:val="24"/>
          <w:szCs w:val="24"/>
        </w:rPr>
        <w:t>Forms E (24 pages)</w:t>
      </w:r>
      <w:r w:rsidRPr="002C3444">
        <w:rPr>
          <w:rFonts w:ascii="Times New Roman" w:hAnsi="Times New Roman" w:cs="Times New Roman"/>
          <w:sz w:val="24"/>
          <w:szCs w:val="24"/>
          <w:vertAlign w:val="superscript"/>
        </w:rPr>
        <w:footnoteReference w:id="5"/>
      </w:r>
    </w:p>
    <w:p w:rsidR="00070003" w:rsidRPr="002C3444" w:rsidRDefault="00070003" w:rsidP="002C3444">
      <w:pPr>
        <w:numPr>
          <w:ilvl w:val="0"/>
          <w:numId w:val="3"/>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Prepare PD documentation</w:t>
      </w:r>
      <w:r w:rsidRPr="002C3444">
        <w:rPr>
          <w:rFonts w:ascii="Times New Roman" w:hAnsi="Times New Roman" w:cs="Times New Roman"/>
          <w:sz w:val="24"/>
          <w:szCs w:val="24"/>
          <w:vertAlign w:val="superscript"/>
        </w:rPr>
        <w:footnoteReference w:id="6"/>
      </w:r>
    </w:p>
    <w:p w:rsidR="00070003" w:rsidRPr="002C3444" w:rsidRDefault="00070003" w:rsidP="002C3444">
      <w:pPr>
        <w:numPr>
          <w:ilvl w:val="0"/>
          <w:numId w:val="3"/>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Attend FDA, FDR, final hearing – but with the added risk/ reward of </w:t>
      </w:r>
      <w:r w:rsidRPr="002C3444">
        <w:rPr>
          <w:rFonts w:ascii="Times New Roman" w:hAnsi="Times New Roman" w:cs="Times New Roman"/>
          <w:i/>
          <w:sz w:val="24"/>
          <w:szCs w:val="24"/>
        </w:rPr>
        <w:t>Calderbanks</w:t>
      </w:r>
    </w:p>
    <w:p w:rsidR="00070003" w:rsidRPr="002C3444" w:rsidRDefault="002B1E45" w:rsidP="002C3444">
      <w:pPr>
        <w:numPr>
          <w:ilvl w:val="0"/>
          <w:numId w:val="3"/>
        </w:numPr>
        <w:spacing w:line="36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Where they are ordered, ensure that </w:t>
      </w:r>
      <w:r w:rsidR="00070003" w:rsidRPr="002C3444">
        <w:rPr>
          <w:rFonts w:ascii="Times New Roman" w:hAnsi="Times New Roman" w:cs="Times New Roman"/>
          <w:sz w:val="24"/>
          <w:szCs w:val="24"/>
        </w:rPr>
        <w:t xml:space="preserve">affidavits on </w:t>
      </w:r>
      <w:r>
        <w:rPr>
          <w:rFonts w:ascii="Times New Roman" w:hAnsi="Times New Roman" w:cs="Times New Roman"/>
          <w:sz w:val="24"/>
          <w:szCs w:val="24"/>
        </w:rPr>
        <w:t xml:space="preserve">filed on </w:t>
      </w:r>
      <w:r w:rsidR="00070003" w:rsidRPr="002C3444">
        <w:rPr>
          <w:rFonts w:ascii="Times New Roman" w:hAnsi="Times New Roman" w:cs="Times New Roman"/>
          <w:sz w:val="24"/>
          <w:szCs w:val="24"/>
        </w:rPr>
        <w:t xml:space="preserve">“…durable quality A4 paper with a 3.5 cm margin”, typed on one side, either securely bound or endorsed on each page with the case number and initialled (FPR PD 22A [3.3]). </w:t>
      </w:r>
    </w:p>
    <w:p w:rsidR="002C3444" w:rsidRPr="002C3444" w:rsidRDefault="002C3444" w:rsidP="002C3444">
      <w:pPr>
        <w:spacing w:line="360" w:lineRule="auto"/>
        <w:contextualSpacing/>
        <w:jc w:val="both"/>
        <w:rPr>
          <w:rFonts w:ascii="Times New Roman" w:hAnsi="Times New Roman" w:cs="Times New Roman"/>
          <w:sz w:val="24"/>
          <w:szCs w:val="24"/>
          <w:u w:val="single"/>
        </w:rPr>
      </w:pPr>
    </w:p>
    <w:p w:rsidR="00070003" w:rsidRPr="002C3444" w:rsidRDefault="00070003" w:rsidP="002C3444">
      <w:pPr>
        <w:spacing w:line="360" w:lineRule="auto"/>
        <w:contextualSpacing/>
        <w:jc w:val="both"/>
        <w:rPr>
          <w:rFonts w:ascii="Times New Roman" w:hAnsi="Times New Roman" w:cs="Times New Roman"/>
          <w:sz w:val="24"/>
          <w:szCs w:val="24"/>
          <w:u w:val="single"/>
        </w:rPr>
      </w:pPr>
      <w:r w:rsidRPr="002C3444">
        <w:rPr>
          <w:rFonts w:ascii="Times New Roman" w:hAnsi="Times New Roman" w:cs="Times New Roman"/>
          <w:sz w:val="24"/>
          <w:szCs w:val="24"/>
          <w:u w:val="single"/>
        </w:rPr>
        <w:t>Which court?</w:t>
      </w:r>
    </w:p>
    <w:p w:rsidR="00070003" w:rsidRPr="002C3444" w:rsidRDefault="00070003" w:rsidP="002C3444">
      <w:pPr>
        <w:numPr>
          <w:ilvl w:val="0"/>
          <w:numId w:val="2"/>
        </w:numPr>
        <w:spacing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The High Court, County Court and Magistrates’ Cour</w:t>
      </w:r>
      <w:r w:rsidR="002C3444">
        <w:rPr>
          <w:rFonts w:ascii="Times New Roman" w:hAnsi="Times New Roman" w:cs="Times New Roman"/>
          <w:sz w:val="24"/>
          <w:szCs w:val="24"/>
        </w:rPr>
        <w:t xml:space="preserve">t all have jurisdiction, although the </w:t>
      </w:r>
      <w:r w:rsidRPr="002C3444">
        <w:rPr>
          <w:rFonts w:ascii="Times New Roman" w:hAnsi="Times New Roman" w:cs="Times New Roman"/>
          <w:sz w:val="24"/>
          <w:szCs w:val="24"/>
        </w:rPr>
        <w:t xml:space="preserve">Magistrates’ Court can only make periodical payments </w:t>
      </w:r>
      <w:r w:rsidR="002C3444">
        <w:rPr>
          <w:rFonts w:ascii="Times New Roman" w:hAnsi="Times New Roman" w:cs="Times New Roman"/>
          <w:sz w:val="24"/>
          <w:szCs w:val="24"/>
        </w:rPr>
        <w:t>(</w:t>
      </w:r>
      <w:r w:rsidR="002B1E45">
        <w:rPr>
          <w:rFonts w:ascii="Times New Roman" w:hAnsi="Times New Roman" w:cs="Times New Roman"/>
          <w:sz w:val="24"/>
          <w:szCs w:val="24"/>
        </w:rPr>
        <w:t>not secured</w:t>
      </w:r>
      <w:r w:rsidR="002B1E45" w:rsidRPr="002C3444">
        <w:rPr>
          <w:rFonts w:ascii="Times New Roman" w:eastAsia="Times New Roman" w:hAnsi="Times New Roman" w:cs="Times New Roman"/>
          <w:sz w:val="24"/>
          <w:szCs w:val="24"/>
          <w:vertAlign w:val="superscript"/>
        </w:rPr>
        <w:footnoteReference w:id="7"/>
      </w:r>
      <w:r w:rsidR="002C3444">
        <w:rPr>
          <w:rFonts w:ascii="Times New Roman" w:hAnsi="Times New Roman" w:cs="Times New Roman"/>
          <w:sz w:val="24"/>
          <w:szCs w:val="24"/>
        </w:rPr>
        <w:t xml:space="preserve">) </w:t>
      </w:r>
      <w:r w:rsidRPr="002C3444">
        <w:rPr>
          <w:rFonts w:ascii="Times New Roman" w:hAnsi="Times New Roman" w:cs="Times New Roman"/>
          <w:sz w:val="24"/>
          <w:szCs w:val="24"/>
        </w:rPr>
        <w:t>orders and lump sum orders (the latter limited to £1</w:t>
      </w:r>
      <w:r w:rsidR="002C3444">
        <w:rPr>
          <w:rFonts w:ascii="Times New Roman" w:hAnsi="Times New Roman" w:cs="Times New Roman"/>
          <w:sz w:val="24"/>
          <w:szCs w:val="24"/>
        </w:rPr>
        <w:t>,</w:t>
      </w:r>
      <w:r w:rsidRPr="002C3444">
        <w:rPr>
          <w:rFonts w:ascii="Times New Roman" w:hAnsi="Times New Roman" w:cs="Times New Roman"/>
          <w:sz w:val="24"/>
          <w:szCs w:val="24"/>
        </w:rPr>
        <w:t xml:space="preserve">000). </w:t>
      </w:r>
    </w:p>
    <w:p w:rsidR="00070003" w:rsidRPr="002C3444" w:rsidRDefault="00070003" w:rsidP="00070003">
      <w:pPr>
        <w:spacing w:line="360" w:lineRule="auto"/>
        <w:contextualSpacing/>
        <w:jc w:val="both"/>
        <w:rPr>
          <w:rFonts w:ascii="Times New Roman" w:hAnsi="Times New Roman" w:cs="Times New Roman"/>
          <w:sz w:val="24"/>
          <w:szCs w:val="24"/>
        </w:rPr>
      </w:pPr>
    </w:p>
    <w:p w:rsidR="00070003" w:rsidRPr="002C3444" w:rsidRDefault="00070003" w:rsidP="00070003">
      <w:pPr>
        <w:spacing w:line="360" w:lineRule="auto"/>
        <w:contextualSpacing/>
        <w:jc w:val="both"/>
        <w:rPr>
          <w:rFonts w:ascii="Times New Roman" w:hAnsi="Times New Roman" w:cs="Times New Roman"/>
          <w:sz w:val="24"/>
          <w:szCs w:val="24"/>
        </w:rPr>
      </w:pPr>
    </w:p>
    <w:p w:rsidR="00070003" w:rsidRPr="002C3444" w:rsidRDefault="00070003" w:rsidP="00070003">
      <w:pPr>
        <w:spacing w:line="360" w:lineRule="auto"/>
        <w:contextualSpacing/>
        <w:jc w:val="both"/>
        <w:rPr>
          <w:rFonts w:ascii="Times New Roman" w:hAnsi="Times New Roman" w:cs="Times New Roman"/>
          <w:sz w:val="24"/>
          <w:szCs w:val="24"/>
          <w:u w:val="single"/>
        </w:rPr>
      </w:pPr>
      <w:r w:rsidRPr="002C3444">
        <w:rPr>
          <w:rFonts w:ascii="Times New Roman" w:hAnsi="Times New Roman" w:cs="Times New Roman"/>
          <w:sz w:val="24"/>
          <w:szCs w:val="24"/>
          <w:u w:val="single"/>
        </w:rPr>
        <w:t>New rules on experts</w:t>
      </w:r>
    </w:p>
    <w:p w:rsidR="00070003" w:rsidRPr="002C3444" w:rsidRDefault="00070003" w:rsidP="00070003">
      <w:pPr>
        <w:numPr>
          <w:ilvl w:val="0"/>
          <w:numId w:val="2"/>
        </w:numPr>
        <w:spacing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On 31.1.13 the </w:t>
      </w:r>
      <w:r w:rsidRPr="002C3444">
        <w:rPr>
          <w:rFonts w:ascii="Times New Roman" w:hAnsi="Times New Roman" w:cs="Times New Roman"/>
          <w:sz w:val="24"/>
          <w:szCs w:val="24"/>
          <w:u w:val="single"/>
        </w:rPr>
        <w:t>Family Procedure Amendment (No. 5) Rules 2012</w:t>
      </w:r>
      <w:r w:rsidRPr="002C3444">
        <w:rPr>
          <w:rFonts w:ascii="Times New Roman" w:hAnsi="Times New Roman" w:cs="Times New Roman"/>
          <w:sz w:val="24"/>
          <w:szCs w:val="24"/>
          <w:u w:val="single"/>
          <w:vertAlign w:val="superscript"/>
        </w:rPr>
        <w:footnoteReference w:id="8"/>
      </w:r>
      <w:r w:rsidRPr="002C3444">
        <w:rPr>
          <w:rFonts w:ascii="Times New Roman" w:hAnsi="Times New Roman" w:cs="Times New Roman"/>
          <w:sz w:val="24"/>
          <w:szCs w:val="24"/>
        </w:rPr>
        <w:t xml:space="preserve"> c</w:t>
      </w:r>
      <w:r w:rsidR="002B1E45">
        <w:rPr>
          <w:rFonts w:ascii="Times New Roman" w:hAnsi="Times New Roman" w:cs="Times New Roman"/>
          <w:sz w:val="24"/>
          <w:szCs w:val="24"/>
        </w:rPr>
        <w:t>a</w:t>
      </w:r>
      <w:r w:rsidRPr="002C3444">
        <w:rPr>
          <w:rFonts w:ascii="Times New Roman" w:hAnsi="Times New Roman" w:cs="Times New Roman"/>
          <w:sz w:val="24"/>
          <w:szCs w:val="24"/>
        </w:rPr>
        <w:t>me into force (SI 2012/3061) which introduce</w:t>
      </w:r>
      <w:r w:rsidR="002B1E45">
        <w:rPr>
          <w:rFonts w:ascii="Times New Roman" w:hAnsi="Times New Roman" w:cs="Times New Roman"/>
          <w:sz w:val="24"/>
          <w:szCs w:val="24"/>
        </w:rPr>
        <w:t>d</w:t>
      </w:r>
      <w:r w:rsidRPr="002C3444">
        <w:rPr>
          <w:rFonts w:ascii="Times New Roman" w:hAnsi="Times New Roman" w:cs="Times New Roman"/>
          <w:sz w:val="24"/>
          <w:szCs w:val="24"/>
        </w:rPr>
        <w:t xml:space="preserve"> a new FPR Part 25 and a host of </w:t>
      </w:r>
      <w:r w:rsidRPr="002C3444">
        <w:rPr>
          <w:rFonts w:ascii="Times New Roman" w:hAnsi="Times New Roman" w:cs="Times New Roman"/>
          <w:b/>
          <w:sz w:val="24"/>
          <w:szCs w:val="24"/>
        </w:rPr>
        <w:t>six</w:t>
      </w:r>
      <w:r w:rsidRPr="002C3444">
        <w:rPr>
          <w:rFonts w:ascii="Times New Roman" w:hAnsi="Times New Roman" w:cs="Times New Roman"/>
          <w:sz w:val="24"/>
          <w:szCs w:val="24"/>
        </w:rPr>
        <w:t xml:space="preserve"> new </w:t>
      </w:r>
      <w:r w:rsidRPr="002C3444">
        <w:rPr>
          <w:rFonts w:ascii="Times New Roman" w:hAnsi="Times New Roman" w:cs="Times New Roman"/>
          <w:sz w:val="24"/>
          <w:szCs w:val="24"/>
          <w:u w:val="single"/>
        </w:rPr>
        <w:t>Practice Directions</w:t>
      </w:r>
      <w:r w:rsidRPr="002C3444">
        <w:rPr>
          <w:rFonts w:ascii="Times New Roman" w:hAnsi="Times New Roman" w:cs="Times New Roman"/>
          <w:sz w:val="24"/>
          <w:szCs w:val="24"/>
          <w:u w:val="single"/>
          <w:vertAlign w:val="superscript"/>
        </w:rPr>
        <w:footnoteReference w:id="9"/>
      </w:r>
      <w:r w:rsidRPr="002C3444">
        <w:rPr>
          <w:rFonts w:ascii="Times New Roman" w:hAnsi="Times New Roman" w:cs="Times New Roman"/>
          <w:sz w:val="24"/>
          <w:szCs w:val="24"/>
          <w:u w:val="single"/>
        </w:rPr>
        <w:t xml:space="preserve"> (PD 25A to 25F</w:t>
      </w:r>
      <w:r w:rsidRPr="002C3444">
        <w:rPr>
          <w:rFonts w:ascii="Times New Roman" w:hAnsi="Times New Roman" w:cs="Times New Roman"/>
          <w:sz w:val="24"/>
          <w:szCs w:val="24"/>
          <w:vertAlign w:val="superscript"/>
        </w:rPr>
        <w:footnoteReference w:id="10"/>
      </w:r>
      <w:r w:rsidRPr="002C3444">
        <w:rPr>
          <w:rFonts w:ascii="Times New Roman" w:hAnsi="Times New Roman" w:cs="Times New Roman"/>
          <w:sz w:val="24"/>
          <w:szCs w:val="24"/>
        </w:rPr>
        <w:t>) with the current Part 25 rule and PD 25A repealed in their entirety.</w:t>
      </w:r>
    </w:p>
    <w:p w:rsidR="00070003" w:rsidRPr="002C3444" w:rsidRDefault="00070003" w:rsidP="00070003">
      <w:pPr>
        <w:spacing w:line="360" w:lineRule="auto"/>
        <w:ind w:left="720" w:hanging="720"/>
        <w:contextualSpacing/>
        <w:jc w:val="both"/>
        <w:rPr>
          <w:rFonts w:ascii="Times New Roman" w:hAnsi="Times New Roman" w:cs="Times New Roman"/>
          <w:sz w:val="24"/>
          <w:szCs w:val="24"/>
        </w:rPr>
      </w:pPr>
    </w:p>
    <w:p w:rsidR="00070003" w:rsidRPr="002C3444" w:rsidRDefault="00070003" w:rsidP="00070003">
      <w:pPr>
        <w:numPr>
          <w:ilvl w:val="0"/>
          <w:numId w:val="2"/>
        </w:numPr>
        <w:spacing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The main purpose of the new provisions was to bear down on the number of experts called in ‘children proceedings’</w:t>
      </w:r>
      <w:r w:rsidRPr="002C3444">
        <w:rPr>
          <w:rFonts w:ascii="Times New Roman" w:hAnsi="Times New Roman" w:cs="Times New Roman"/>
          <w:sz w:val="24"/>
          <w:szCs w:val="24"/>
          <w:vertAlign w:val="superscript"/>
        </w:rPr>
        <w:footnoteReference w:id="11"/>
      </w:r>
      <w:r w:rsidRPr="002C3444">
        <w:rPr>
          <w:rFonts w:ascii="Times New Roman" w:hAnsi="Times New Roman" w:cs="Times New Roman"/>
          <w:sz w:val="24"/>
          <w:szCs w:val="24"/>
        </w:rPr>
        <w:t xml:space="preserve"> but several other changes are applicable to financial remedy claims:</w:t>
      </w:r>
    </w:p>
    <w:p w:rsidR="00070003" w:rsidRPr="002C3444" w:rsidRDefault="00070003" w:rsidP="00070003">
      <w:pPr>
        <w:numPr>
          <w:ilvl w:val="0"/>
          <w:numId w:val="7"/>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The litmus test for permission tightened up; from “reasonably required” to “necessary”., i.e. FPR 25.1 reads:</w:t>
      </w:r>
    </w:p>
    <w:p w:rsidR="00070003" w:rsidRPr="002C3444" w:rsidRDefault="00070003" w:rsidP="00070003">
      <w:pPr>
        <w:ind w:left="2160" w:right="566"/>
        <w:contextualSpacing/>
        <w:jc w:val="both"/>
        <w:rPr>
          <w:rFonts w:ascii="Times New Roman" w:hAnsi="Times New Roman" w:cs="Times New Roman"/>
          <w:sz w:val="21"/>
          <w:szCs w:val="21"/>
        </w:rPr>
      </w:pPr>
      <w:r w:rsidRPr="002C3444">
        <w:rPr>
          <w:rFonts w:ascii="Times New Roman" w:hAnsi="Times New Roman" w:cs="Times New Roman"/>
          <w:sz w:val="21"/>
          <w:szCs w:val="21"/>
        </w:rPr>
        <w:t xml:space="preserve">“…expert evidence will be restricted to that which in the opinion of the court is necessary to assist the court to resolve the proceedings” (FPR 25.1). </w:t>
      </w:r>
    </w:p>
    <w:p w:rsidR="00070003" w:rsidRPr="002C3444" w:rsidRDefault="00070003" w:rsidP="00070003">
      <w:pPr>
        <w:ind w:left="2160" w:right="566"/>
        <w:contextualSpacing/>
        <w:jc w:val="both"/>
        <w:rPr>
          <w:rFonts w:ascii="Times New Roman" w:hAnsi="Times New Roman" w:cs="Times New Roman"/>
          <w:sz w:val="21"/>
          <w:szCs w:val="21"/>
        </w:rPr>
      </w:pPr>
    </w:p>
    <w:p w:rsidR="00070003" w:rsidRPr="002C3444" w:rsidRDefault="00070003" w:rsidP="00070003">
      <w:pPr>
        <w:numPr>
          <w:ilvl w:val="0"/>
          <w:numId w:val="7"/>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The court’s discretion on whether to allow expert evidence is now guided by a checklist of considerations at FPR 25.5(2) including the impact on timetable and cost. Separately, the “court’s active case management” obligations now expressly include “controlling the use of expert evidence” (FPR 1.4(2))</w:t>
      </w:r>
    </w:p>
    <w:p w:rsidR="00070003" w:rsidRPr="002C3444" w:rsidRDefault="00070003" w:rsidP="00070003">
      <w:pPr>
        <w:numPr>
          <w:ilvl w:val="0"/>
          <w:numId w:val="7"/>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lastRenderedPageBreak/>
        <w:t>Timing: unless the court directs otherwise, an application for expert evidence must be made “…no later than the first appointment” (FPR 25.6(d))</w:t>
      </w:r>
    </w:p>
    <w:p w:rsidR="00070003" w:rsidRPr="002C3444" w:rsidRDefault="00070003" w:rsidP="00070003">
      <w:pPr>
        <w:spacing w:line="360" w:lineRule="auto"/>
        <w:ind w:left="2880"/>
        <w:contextualSpacing/>
        <w:jc w:val="both"/>
        <w:rPr>
          <w:rFonts w:ascii="Times New Roman" w:hAnsi="Times New Roman" w:cs="Times New Roman"/>
          <w:sz w:val="24"/>
          <w:szCs w:val="24"/>
        </w:rPr>
      </w:pPr>
    </w:p>
    <w:p w:rsidR="00070003" w:rsidRPr="002C3444" w:rsidRDefault="00070003" w:rsidP="00070003">
      <w:pPr>
        <w:numPr>
          <w:ilvl w:val="0"/>
          <w:numId w:val="2"/>
        </w:numPr>
        <w:spacing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Most significantly, the new rules contemplate a </w:t>
      </w:r>
      <w:r w:rsidRPr="002C3444">
        <w:rPr>
          <w:rFonts w:ascii="Times New Roman" w:hAnsi="Times New Roman" w:cs="Times New Roman"/>
          <w:i/>
          <w:sz w:val="24"/>
          <w:szCs w:val="24"/>
        </w:rPr>
        <w:t>lot more work</w:t>
      </w:r>
      <w:r w:rsidRPr="002C3444">
        <w:rPr>
          <w:rFonts w:ascii="Times New Roman" w:hAnsi="Times New Roman" w:cs="Times New Roman"/>
          <w:sz w:val="24"/>
          <w:szCs w:val="24"/>
        </w:rPr>
        <w:t xml:space="preserve"> being undertaken before FDA:</w:t>
      </w:r>
    </w:p>
    <w:p w:rsidR="00070003" w:rsidRPr="002C3444" w:rsidRDefault="00070003" w:rsidP="00070003">
      <w:pPr>
        <w:numPr>
          <w:ilvl w:val="0"/>
          <w:numId w:val="4"/>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A party intending to call an expert is expected to serve a list of names on the other side of experts they consider suitable, the other side responding within 10 days (PD 25D, 2.1, 2.2)</w:t>
      </w:r>
    </w:p>
    <w:p w:rsidR="00070003" w:rsidRPr="002C3444" w:rsidRDefault="00070003" w:rsidP="00070003">
      <w:pPr>
        <w:spacing w:line="360" w:lineRule="auto"/>
        <w:ind w:left="1800"/>
        <w:contextualSpacing/>
        <w:jc w:val="both"/>
        <w:rPr>
          <w:rFonts w:ascii="Times New Roman" w:hAnsi="Times New Roman" w:cs="Times New Roman"/>
          <w:sz w:val="24"/>
          <w:szCs w:val="24"/>
        </w:rPr>
      </w:pPr>
    </w:p>
    <w:p w:rsidR="00070003" w:rsidRPr="002C3444" w:rsidRDefault="00070003" w:rsidP="00070003">
      <w:pPr>
        <w:numPr>
          <w:ilvl w:val="0"/>
          <w:numId w:val="4"/>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Where there is agreement to instruct a SJE, the parties should “in good time for the information to be requested to be available for the hearing” do the following (PD 25D, 2.6) do the following</w:t>
      </w:r>
    </w:p>
    <w:p w:rsidR="00070003" w:rsidRPr="002C3444" w:rsidRDefault="00070003" w:rsidP="00070003">
      <w:pPr>
        <w:numPr>
          <w:ilvl w:val="0"/>
          <w:numId w:val="5"/>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PD 25D, 2.6(a) “So far as appropriate…” approach the expert with information as to the proceedings, likely questions, volume of reading, likely timetable etc</w:t>
      </w:r>
      <w:r w:rsidR="002C3444">
        <w:rPr>
          <w:rFonts w:ascii="Times New Roman" w:hAnsi="Times New Roman" w:cs="Times New Roman"/>
          <w:sz w:val="24"/>
          <w:szCs w:val="24"/>
        </w:rPr>
        <w:t>.</w:t>
      </w:r>
      <w:r w:rsidRPr="002C3444">
        <w:rPr>
          <w:rFonts w:ascii="Times New Roman" w:hAnsi="Times New Roman" w:cs="Times New Roman"/>
          <w:sz w:val="24"/>
          <w:szCs w:val="24"/>
        </w:rPr>
        <w:t xml:space="preserve"> (PD 25D, 3.3); include this detailed information in the application form (PD 25D, 3.11; FPR 25.7(2)(a)) and prepare a draft order that sets out the issues, who is responsible for drafting the letter of instruction, timetable etc. (PD 25D, 3.12)</w:t>
      </w:r>
    </w:p>
    <w:p w:rsidR="00070003" w:rsidRPr="002C3444" w:rsidRDefault="00070003" w:rsidP="00070003">
      <w:pPr>
        <w:numPr>
          <w:ilvl w:val="0"/>
          <w:numId w:val="5"/>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Obtain from the proposed expert confirmation that he can undertake the work, indicate timescale and cost (PD 25D, 2.6(b) and PD25B, 8.1)</w:t>
      </w:r>
    </w:p>
    <w:p w:rsidR="00070003" w:rsidRPr="002C3444" w:rsidRDefault="00070003" w:rsidP="00070003">
      <w:pPr>
        <w:numPr>
          <w:ilvl w:val="0"/>
          <w:numId w:val="5"/>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Have agreed with the other side in what proportion the SJE’s fees are to be paid</w:t>
      </w:r>
    </w:p>
    <w:p w:rsidR="00070003" w:rsidRPr="002C3444" w:rsidRDefault="00070003" w:rsidP="00070003">
      <w:pPr>
        <w:numPr>
          <w:ilvl w:val="0"/>
          <w:numId w:val="5"/>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Where appropriate, obtain agreement for public funding. </w:t>
      </w:r>
    </w:p>
    <w:p w:rsidR="00070003" w:rsidRPr="002C3444" w:rsidRDefault="00070003" w:rsidP="00070003">
      <w:pPr>
        <w:numPr>
          <w:ilvl w:val="0"/>
          <w:numId w:val="4"/>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Detailed provisions are also set out with regards the letter of instruction: PD 25D, 4.1 and 6.1</w:t>
      </w:r>
    </w:p>
    <w:p w:rsidR="00070003" w:rsidRPr="002C3444" w:rsidRDefault="00070003" w:rsidP="00070003">
      <w:pPr>
        <w:spacing w:line="360" w:lineRule="auto"/>
        <w:ind w:left="1800"/>
        <w:contextualSpacing/>
        <w:jc w:val="both"/>
        <w:rPr>
          <w:rFonts w:ascii="Times New Roman" w:hAnsi="Times New Roman" w:cs="Times New Roman"/>
          <w:sz w:val="24"/>
          <w:szCs w:val="24"/>
        </w:rPr>
      </w:pPr>
    </w:p>
    <w:p w:rsidR="00070003" w:rsidRPr="002C3444" w:rsidRDefault="00070003" w:rsidP="00070003">
      <w:pPr>
        <w:numPr>
          <w:ilvl w:val="0"/>
          <w:numId w:val="2"/>
        </w:numPr>
        <w:spacing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lastRenderedPageBreak/>
        <w:t xml:space="preserve">Practitioners will be relieved to find that these obligations do not apply in every case. Where for example a direction is sought for a property to be valued: see </w:t>
      </w:r>
      <w:r w:rsidR="002C3444">
        <w:rPr>
          <w:rFonts w:ascii="Times New Roman" w:hAnsi="Times New Roman" w:cs="Times New Roman"/>
          <w:sz w:val="24"/>
          <w:szCs w:val="24"/>
        </w:rPr>
        <w:t>25</w:t>
      </w:r>
      <w:r w:rsidRPr="002C3444">
        <w:rPr>
          <w:rFonts w:ascii="Times New Roman" w:hAnsi="Times New Roman" w:cs="Times New Roman"/>
          <w:sz w:val="24"/>
          <w:szCs w:val="24"/>
        </w:rPr>
        <w:t>PD 3.6 to 3.10 and 3.8 in particular which provides for applications to be made orally. However oral applications should be the “…</w:t>
      </w:r>
      <w:r w:rsidRPr="002C3444">
        <w:rPr>
          <w:rFonts w:ascii="Times New Roman" w:hAnsi="Times New Roman" w:cs="Times New Roman"/>
          <w:b/>
          <w:sz w:val="24"/>
          <w:szCs w:val="24"/>
        </w:rPr>
        <w:t>exception</w:t>
      </w:r>
      <w:r w:rsidRPr="002C3444">
        <w:rPr>
          <w:rFonts w:ascii="Times New Roman" w:hAnsi="Times New Roman" w:cs="Times New Roman"/>
          <w:sz w:val="24"/>
          <w:szCs w:val="24"/>
        </w:rPr>
        <w:t xml:space="preserve"> … reserved for genuine cases where circumstances are such that it has only become apparent shortly before the hearing that an expert opinion is necessary” (PD 25D, 3.8).</w:t>
      </w:r>
    </w:p>
    <w:p w:rsidR="00070003" w:rsidRPr="002C3444" w:rsidRDefault="00070003" w:rsidP="00070003">
      <w:pPr>
        <w:ind w:left="720" w:hanging="720"/>
        <w:contextualSpacing/>
        <w:jc w:val="both"/>
        <w:rPr>
          <w:rFonts w:ascii="Times New Roman" w:hAnsi="Times New Roman" w:cs="Times New Roman"/>
          <w:sz w:val="24"/>
          <w:szCs w:val="24"/>
          <w:u w:val="single"/>
        </w:rPr>
      </w:pPr>
    </w:p>
    <w:p w:rsidR="00070003" w:rsidRPr="002C3444" w:rsidRDefault="00070003" w:rsidP="00070003">
      <w:pPr>
        <w:numPr>
          <w:ilvl w:val="0"/>
          <w:numId w:val="2"/>
        </w:numPr>
        <w:spacing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Even in those circumstances the party “…should provide the court and the other party with as much as possible of the information referred to FPR 25 and PD 25D 3.11 [detail of proposed instruction]. In most situations, the new provisions contemplate a Part 18 application should be issued which complies with the requirements of FPR 25.7.</w:t>
      </w:r>
    </w:p>
    <w:p w:rsidR="00070003" w:rsidRPr="002C3444" w:rsidRDefault="00070003" w:rsidP="00070003">
      <w:pPr>
        <w:pStyle w:val="ListParagraph"/>
        <w:ind w:left="0"/>
        <w:jc w:val="both"/>
        <w:rPr>
          <w:rFonts w:ascii="Times New Roman" w:hAnsi="Times New Roman" w:cs="Times New Roman"/>
          <w:sz w:val="24"/>
          <w:szCs w:val="24"/>
          <w:u w:val="single"/>
        </w:rPr>
      </w:pPr>
    </w:p>
    <w:p w:rsidR="002C3444" w:rsidRPr="002C3444" w:rsidRDefault="002C3444" w:rsidP="002C3444">
      <w:pPr>
        <w:pStyle w:val="ListParagraph"/>
        <w:spacing w:line="360" w:lineRule="auto"/>
        <w:jc w:val="both"/>
        <w:rPr>
          <w:rFonts w:ascii="Times New Roman" w:hAnsi="Times New Roman" w:cs="Times New Roman"/>
          <w:sz w:val="24"/>
          <w:szCs w:val="24"/>
        </w:rPr>
      </w:pPr>
    </w:p>
    <w:p w:rsidR="002C3444" w:rsidRPr="002C3444" w:rsidRDefault="00A051A1" w:rsidP="002C3444">
      <w:pPr>
        <w:pStyle w:val="ListParagraph"/>
        <w:spacing w:line="360" w:lineRule="auto"/>
        <w:ind w:left="0"/>
        <w:jc w:val="both"/>
        <w:rPr>
          <w:rFonts w:ascii="Times New Roman" w:hAnsi="Times New Roman" w:cs="Times New Roman"/>
          <w:sz w:val="24"/>
          <w:szCs w:val="24"/>
          <w:u w:val="single"/>
        </w:rPr>
      </w:pPr>
      <w:r>
        <w:rPr>
          <w:rFonts w:ascii="Times New Roman" w:hAnsi="Times New Roman" w:cs="Times New Roman"/>
          <w:sz w:val="24"/>
          <w:szCs w:val="24"/>
          <w:u w:val="single"/>
        </w:rPr>
        <w:t>Interim provision/ c</w:t>
      </w:r>
      <w:r w:rsidR="002C3444" w:rsidRPr="002C3444">
        <w:rPr>
          <w:rFonts w:ascii="Times New Roman" w:hAnsi="Times New Roman" w:cs="Times New Roman"/>
          <w:sz w:val="24"/>
          <w:szCs w:val="24"/>
          <w:u w:val="single"/>
        </w:rPr>
        <w:t xml:space="preserve">osts </w:t>
      </w:r>
      <w:r>
        <w:rPr>
          <w:rFonts w:ascii="Times New Roman" w:hAnsi="Times New Roman" w:cs="Times New Roman"/>
          <w:sz w:val="24"/>
          <w:szCs w:val="24"/>
          <w:u w:val="single"/>
        </w:rPr>
        <w:t>a</w:t>
      </w:r>
      <w:r w:rsidR="002C3444" w:rsidRPr="002C3444">
        <w:rPr>
          <w:rFonts w:ascii="Times New Roman" w:hAnsi="Times New Roman" w:cs="Times New Roman"/>
          <w:sz w:val="24"/>
          <w:szCs w:val="24"/>
          <w:u w:val="single"/>
        </w:rPr>
        <w:t>llowances</w:t>
      </w:r>
    </w:p>
    <w:p w:rsidR="002C3444" w:rsidRPr="002C3444" w:rsidRDefault="002C3444" w:rsidP="002C3444">
      <w:pPr>
        <w:pStyle w:val="ListParagraph"/>
        <w:numPr>
          <w:ilvl w:val="0"/>
          <w:numId w:val="2"/>
        </w:numPr>
        <w:spacing w:line="360" w:lineRule="auto"/>
        <w:ind w:hanging="720"/>
        <w:jc w:val="both"/>
        <w:rPr>
          <w:rFonts w:ascii="Times New Roman" w:hAnsi="Times New Roman" w:cs="Times New Roman"/>
          <w:sz w:val="24"/>
          <w:szCs w:val="24"/>
        </w:rPr>
      </w:pPr>
      <w:r w:rsidRPr="002C3444">
        <w:rPr>
          <w:rFonts w:ascii="Times New Roman" w:eastAsia="Times New Roman" w:hAnsi="Times New Roman" w:cs="Times New Roman"/>
          <w:sz w:val="24"/>
          <w:szCs w:val="24"/>
        </w:rPr>
        <w:t>Until fairly recently, it was thought that a costs allowance (an innovation in ancillary relief litigation</w:t>
      </w:r>
      <w:r w:rsidRPr="002C3444">
        <w:rPr>
          <w:rFonts w:ascii="Times New Roman" w:hAnsi="Times New Roman" w:cs="Times New Roman"/>
          <w:sz w:val="24"/>
          <w:szCs w:val="24"/>
          <w:vertAlign w:val="superscript"/>
        </w:rPr>
        <w:footnoteReference w:id="12"/>
      </w:r>
      <w:r w:rsidRPr="002C3444">
        <w:rPr>
          <w:rFonts w:ascii="Times New Roman" w:eastAsia="Times New Roman" w:hAnsi="Times New Roman" w:cs="Times New Roman"/>
          <w:sz w:val="24"/>
          <w:szCs w:val="24"/>
        </w:rPr>
        <w:t xml:space="preserve">) was not available within Schedule 1 proceedings: </w:t>
      </w:r>
      <w:r w:rsidR="002B1E45">
        <w:rPr>
          <w:rFonts w:ascii="Times New Roman" w:eastAsia="Times New Roman" w:hAnsi="Times New Roman" w:cs="Times New Roman"/>
          <w:sz w:val="24"/>
          <w:szCs w:val="24"/>
        </w:rPr>
        <w:t>see</w:t>
      </w:r>
      <w:r w:rsidRPr="002C3444">
        <w:rPr>
          <w:rFonts w:ascii="Times New Roman" w:eastAsia="Times New Roman" w:hAnsi="Times New Roman" w:cs="Times New Roman"/>
          <w:sz w:val="24"/>
          <w:szCs w:val="24"/>
        </w:rPr>
        <w:t xml:space="preserve"> </w:t>
      </w:r>
      <w:r w:rsidRPr="002C3444">
        <w:rPr>
          <w:rFonts w:ascii="Times New Roman" w:eastAsia="Times New Roman" w:hAnsi="Times New Roman" w:cs="Times New Roman"/>
          <w:i/>
          <w:sz w:val="24"/>
          <w:szCs w:val="24"/>
        </w:rPr>
        <w:t>W v J (Child: Variation of Financial Provision)</w:t>
      </w:r>
      <w:r w:rsidRPr="002C3444">
        <w:rPr>
          <w:rFonts w:ascii="Times New Roman" w:eastAsia="Times New Roman" w:hAnsi="Times New Roman" w:cs="Times New Roman"/>
          <w:sz w:val="24"/>
          <w:szCs w:val="24"/>
        </w:rPr>
        <w:t xml:space="preserve"> [2004] 2 FLR 300. </w:t>
      </w:r>
      <w:r w:rsidR="002B1E45">
        <w:rPr>
          <w:rFonts w:ascii="Times New Roman" w:eastAsia="Times New Roman" w:hAnsi="Times New Roman" w:cs="Times New Roman"/>
          <w:sz w:val="24"/>
          <w:szCs w:val="24"/>
        </w:rPr>
        <w:t xml:space="preserve">Subsequent authority takes </w:t>
      </w:r>
      <w:r w:rsidRPr="002C3444">
        <w:rPr>
          <w:rFonts w:ascii="Times New Roman" w:eastAsia="Times New Roman" w:hAnsi="Times New Roman" w:cs="Times New Roman"/>
          <w:sz w:val="24"/>
          <w:szCs w:val="24"/>
        </w:rPr>
        <w:t xml:space="preserve">the contrary view: the court </w:t>
      </w:r>
      <w:r w:rsidRPr="002C3444">
        <w:rPr>
          <w:rFonts w:ascii="Times New Roman" w:eastAsia="Times New Roman" w:hAnsi="Times New Roman" w:cs="Times New Roman"/>
          <w:i/>
          <w:sz w:val="24"/>
          <w:szCs w:val="24"/>
        </w:rPr>
        <w:t>does</w:t>
      </w:r>
      <w:r w:rsidRPr="002C3444">
        <w:rPr>
          <w:rFonts w:ascii="Times New Roman" w:eastAsia="Times New Roman" w:hAnsi="Times New Roman" w:cs="Times New Roman"/>
          <w:sz w:val="24"/>
          <w:szCs w:val="24"/>
        </w:rPr>
        <w:t xml:space="preserve"> have jurisdiction to make a costs allowance in Schedule 1 proceedings where the court regains jurisdiction to deal with child maintenance (e.g. where seeking top-up): see </w:t>
      </w:r>
      <w:r w:rsidR="002B1E45">
        <w:rPr>
          <w:rFonts w:ascii="Times New Roman" w:eastAsia="Times New Roman" w:hAnsi="Times New Roman" w:cs="Times New Roman"/>
          <w:sz w:val="24"/>
          <w:szCs w:val="24"/>
        </w:rPr>
        <w:t xml:space="preserve">Charles J in </w:t>
      </w:r>
      <w:r w:rsidRPr="002C3444">
        <w:rPr>
          <w:rFonts w:ascii="Times New Roman" w:eastAsia="Times New Roman" w:hAnsi="Times New Roman" w:cs="Times New Roman"/>
          <w:i/>
          <w:sz w:val="24"/>
          <w:szCs w:val="24"/>
        </w:rPr>
        <w:t>M-T v T</w:t>
      </w:r>
      <w:r w:rsidRPr="002C3444">
        <w:rPr>
          <w:rFonts w:ascii="Times New Roman" w:eastAsia="Times New Roman" w:hAnsi="Times New Roman" w:cs="Times New Roman"/>
          <w:sz w:val="24"/>
          <w:szCs w:val="24"/>
        </w:rPr>
        <w:t xml:space="preserve"> [2007] 2 FLR 925.</w:t>
      </w:r>
    </w:p>
    <w:p w:rsidR="002C3444" w:rsidRPr="002C3444" w:rsidRDefault="002C3444" w:rsidP="002C3444">
      <w:pPr>
        <w:pStyle w:val="ListParagraph"/>
        <w:spacing w:line="360" w:lineRule="auto"/>
        <w:jc w:val="both"/>
        <w:rPr>
          <w:rFonts w:ascii="Times New Roman" w:hAnsi="Times New Roman" w:cs="Times New Roman"/>
          <w:sz w:val="24"/>
          <w:szCs w:val="24"/>
        </w:rPr>
      </w:pPr>
    </w:p>
    <w:p w:rsidR="002C3444" w:rsidRPr="002C3444" w:rsidRDefault="002C3444" w:rsidP="002C3444">
      <w:pPr>
        <w:pStyle w:val="ListParagraph"/>
        <w:numPr>
          <w:ilvl w:val="0"/>
          <w:numId w:val="2"/>
        </w:numPr>
        <w:spacing w:line="360" w:lineRule="auto"/>
        <w:ind w:hanging="720"/>
        <w:jc w:val="both"/>
        <w:rPr>
          <w:rFonts w:ascii="Times New Roman" w:hAnsi="Times New Roman" w:cs="Times New Roman"/>
          <w:sz w:val="24"/>
          <w:szCs w:val="24"/>
        </w:rPr>
      </w:pPr>
      <w:r w:rsidRPr="002C3444">
        <w:rPr>
          <w:rFonts w:ascii="Times New Roman" w:eastAsia="Times New Roman" w:hAnsi="Times New Roman" w:cs="Times New Roman"/>
          <w:sz w:val="24"/>
          <w:szCs w:val="24"/>
        </w:rPr>
        <w:t>But what about where the court has no jurisdiction to award maintenance</w:t>
      </w:r>
      <w:proofErr w:type="gramStart"/>
      <w:r w:rsidRPr="002C3444">
        <w:rPr>
          <w:rFonts w:ascii="Times New Roman" w:eastAsia="Times New Roman" w:hAnsi="Times New Roman" w:cs="Times New Roman"/>
          <w:sz w:val="24"/>
          <w:szCs w:val="24"/>
        </w:rPr>
        <w:t>?</w:t>
      </w:r>
      <w:r w:rsidRPr="002C3444">
        <w:rPr>
          <w:rStyle w:val="FootnoteReference"/>
          <w:rFonts w:ascii="Times New Roman" w:eastAsia="Times New Roman" w:hAnsi="Times New Roman" w:cs="Times New Roman"/>
          <w:sz w:val="24"/>
          <w:szCs w:val="24"/>
        </w:rPr>
        <w:footnoteReference w:id="13"/>
      </w:r>
      <w:r w:rsidRPr="002C3444">
        <w:rPr>
          <w:rFonts w:ascii="Times New Roman" w:eastAsia="Times New Roman" w:hAnsi="Times New Roman" w:cs="Times New Roman"/>
          <w:sz w:val="24"/>
          <w:szCs w:val="24"/>
        </w:rPr>
        <w:t>.</w:t>
      </w:r>
      <w:proofErr w:type="gramEnd"/>
      <w:r w:rsidRPr="002C3444">
        <w:rPr>
          <w:rFonts w:ascii="Times New Roman" w:eastAsia="Times New Roman" w:hAnsi="Times New Roman" w:cs="Times New Roman"/>
          <w:sz w:val="24"/>
          <w:szCs w:val="24"/>
        </w:rPr>
        <w:t xml:space="preserve"> In </w:t>
      </w:r>
      <w:r w:rsidRPr="002C3444">
        <w:rPr>
          <w:rFonts w:ascii="Times New Roman" w:eastAsia="Times New Roman" w:hAnsi="Times New Roman" w:cs="Times New Roman"/>
          <w:i/>
          <w:sz w:val="24"/>
          <w:szCs w:val="24"/>
        </w:rPr>
        <w:t xml:space="preserve">CF v KM (Financial Provision for Child: Costs of Legal Proceedings) </w:t>
      </w:r>
      <w:r w:rsidRPr="002C3444">
        <w:rPr>
          <w:rFonts w:ascii="Times New Roman" w:eastAsia="Times New Roman" w:hAnsi="Times New Roman" w:cs="Times New Roman"/>
          <w:sz w:val="24"/>
          <w:szCs w:val="24"/>
        </w:rPr>
        <w:t xml:space="preserve">[2011] 1 FLR 208 where Charles J concluded, again tentatively, that the court had jurisdiction to make </w:t>
      </w:r>
      <w:r w:rsidRPr="002C3444">
        <w:rPr>
          <w:rFonts w:ascii="Times New Roman" w:eastAsia="Times New Roman" w:hAnsi="Times New Roman" w:cs="Times New Roman"/>
          <w:i/>
          <w:sz w:val="24"/>
          <w:szCs w:val="24"/>
        </w:rPr>
        <w:t>an interim lump sum</w:t>
      </w:r>
      <w:r w:rsidRPr="002C3444">
        <w:rPr>
          <w:rFonts w:ascii="Times New Roman" w:eastAsia="Times New Roman" w:hAnsi="Times New Roman" w:cs="Times New Roman"/>
          <w:sz w:val="24"/>
          <w:szCs w:val="24"/>
        </w:rPr>
        <w:t xml:space="preserve"> order for costs but emphasised that an award could be made, albeit “…in limited circumstances’</w:t>
      </w:r>
    </w:p>
    <w:p w:rsidR="002C3444" w:rsidRPr="002C3444" w:rsidRDefault="002C3444" w:rsidP="002C3444">
      <w:pPr>
        <w:pStyle w:val="ListParagraph"/>
        <w:spacing w:line="360" w:lineRule="auto"/>
        <w:rPr>
          <w:rFonts w:ascii="Times New Roman" w:hAnsi="Times New Roman" w:cs="Times New Roman"/>
          <w:sz w:val="24"/>
          <w:szCs w:val="24"/>
        </w:rPr>
      </w:pPr>
    </w:p>
    <w:p w:rsidR="002C3444" w:rsidRPr="002C3444" w:rsidRDefault="002C3444" w:rsidP="002C3444">
      <w:pPr>
        <w:pStyle w:val="ListParagraph"/>
        <w:numPr>
          <w:ilvl w:val="0"/>
          <w:numId w:val="2"/>
        </w:numPr>
        <w:spacing w:line="360" w:lineRule="auto"/>
        <w:ind w:hanging="720"/>
        <w:rPr>
          <w:rFonts w:ascii="Times New Roman" w:hAnsi="Times New Roman" w:cs="Times New Roman"/>
          <w:sz w:val="24"/>
          <w:szCs w:val="24"/>
        </w:rPr>
      </w:pPr>
      <w:r w:rsidRPr="002C3444">
        <w:rPr>
          <w:rFonts w:ascii="Times New Roman" w:hAnsi="Times New Roman" w:cs="Times New Roman"/>
          <w:sz w:val="24"/>
          <w:szCs w:val="24"/>
        </w:rPr>
        <w:lastRenderedPageBreak/>
        <w:t xml:space="preserve">If contemplating for an </w:t>
      </w:r>
      <w:r w:rsidRPr="002C3444">
        <w:rPr>
          <w:rFonts w:ascii="Times New Roman" w:hAnsi="Times New Roman" w:cs="Times New Roman"/>
          <w:i/>
          <w:sz w:val="24"/>
          <w:szCs w:val="24"/>
        </w:rPr>
        <w:t>‘A v A’</w:t>
      </w:r>
      <w:r w:rsidRPr="002C3444">
        <w:rPr>
          <w:rFonts w:ascii="Times New Roman" w:hAnsi="Times New Roman" w:cs="Times New Roman"/>
          <w:sz w:val="24"/>
          <w:szCs w:val="24"/>
        </w:rPr>
        <w:t xml:space="preserve"> costs allowance, bear in mind</w:t>
      </w:r>
    </w:p>
    <w:p w:rsidR="002C3444" w:rsidRPr="002C3444" w:rsidRDefault="002C3444" w:rsidP="002C3444">
      <w:pPr>
        <w:pStyle w:val="ListParagraph"/>
        <w:numPr>
          <w:ilvl w:val="0"/>
          <w:numId w:val="26"/>
        </w:numPr>
        <w:spacing w:line="360" w:lineRule="auto"/>
        <w:jc w:val="both"/>
        <w:rPr>
          <w:rFonts w:ascii="Times New Roman" w:hAnsi="Times New Roman" w:cs="Times New Roman"/>
          <w:sz w:val="24"/>
          <w:szCs w:val="24"/>
        </w:rPr>
      </w:pPr>
      <w:r w:rsidRPr="002C3444">
        <w:rPr>
          <w:rFonts w:ascii="Times New Roman" w:hAnsi="Times New Roman" w:cs="Times New Roman"/>
          <w:sz w:val="24"/>
          <w:szCs w:val="24"/>
        </w:rPr>
        <w:t>A costs allowance in a Schedule 1 claim remains a highly unusual order, its jurisdiction based on High Court authorities in which Charles J underlined the need for caution;</w:t>
      </w:r>
    </w:p>
    <w:p w:rsidR="002C3444" w:rsidRPr="002C3444" w:rsidRDefault="002C3444" w:rsidP="002C3444">
      <w:pPr>
        <w:pStyle w:val="ListParagraph"/>
        <w:numPr>
          <w:ilvl w:val="0"/>
          <w:numId w:val="26"/>
        </w:numPr>
        <w:spacing w:line="360" w:lineRule="auto"/>
        <w:jc w:val="both"/>
        <w:rPr>
          <w:rFonts w:ascii="Times New Roman" w:hAnsi="Times New Roman" w:cs="Times New Roman"/>
          <w:sz w:val="24"/>
          <w:szCs w:val="24"/>
        </w:rPr>
      </w:pPr>
      <w:r w:rsidRPr="002C3444">
        <w:rPr>
          <w:rFonts w:ascii="Times New Roman" w:hAnsi="Times New Roman" w:cs="Times New Roman"/>
          <w:sz w:val="24"/>
          <w:szCs w:val="24"/>
        </w:rPr>
        <w:t>Part 18 procedure and requirement of 14 days’ notice to the respondent: FPR Part 18.8(b)(ii)</w:t>
      </w:r>
    </w:p>
    <w:p w:rsidR="002C3444" w:rsidRPr="002C3444" w:rsidRDefault="002C3444" w:rsidP="002C3444">
      <w:pPr>
        <w:pStyle w:val="ListParagraph"/>
        <w:numPr>
          <w:ilvl w:val="0"/>
          <w:numId w:val="26"/>
        </w:numPr>
        <w:spacing w:line="360" w:lineRule="auto"/>
        <w:jc w:val="both"/>
        <w:rPr>
          <w:rFonts w:ascii="Times New Roman" w:hAnsi="Times New Roman" w:cs="Times New Roman"/>
          <w:sz w:val="24"/>
          <w:szCs w:val="24"/>
        </w:rPr>
      </w:pPr>
      <w:r w:rsidRPr="002C3444">
        <w:rPr>
          <w:rFonts w:ascii="Times New Roman" w:hAnsi="Times New Roman" w:cs="Times New Roman"/>
          <w:sz w:val="24"/>
          <w:szCs w:val="24"/>
        </w:rPr>
        <w:t xml:space="preserve">Ensure the case meets the strictures set out by the Court of Appeal in </w:t>
      </w:r>
      <w:proofErr w:type="spellStart"/>
      <w:r w:rsidRPr="002C3444">
        <w:rPr>
          <w:rFonts w:ascii="Times New Roman" w:hAnsi="Times New Roman" w:cs="Times New Roman"/>
          <w:i/>
          <w:sz w:val="24"/>
          <w:szCs w:val="24"/>
        </w:rPr>
        <w:t>Currey</w:t>
      </w:r>
      <w:proofErr w:type="spellEnd"/>
      <w:r w:rsidRPr="002C3444">
        <w:rPr>
          <w:rFonts w:ascii="Times New Roman" w:hAnsi="Times New Roman" w:cs="Times New Roman"/>
          <w:i/>
          <w:sz w:val="24"/>
          <w:szCs w:val="24"/>
        </w:rPr>
        <w:t xml:space="preserve"> v </w:t>
      </w:r>
      <w:proofErr w:type="spellStart"/>
      <w:r w:rsidRPr="002C3444">
        <w:rPr>
          <w:rFonts w:ascii="Times New Roman" w:hAnsi="Times New Roman" w:cs="Times New Roman"/>
          <w:i/>
          <w:sz w:val="24"/>
          <w:szCs w:val="24"/>
        </w:rPr>
        <w:t>Currey</w:t>
      </w:r>
      <w:proofErr w:type="spellEnd"/>
      <w:r w:rsidRPr="002C3444">
        <w:rPr>
          <w:rFonts w:ascii="Times New Roman" w:hAnsi="Times New Roman" w:cs="Times New Roman"/>
          <w:i/>
          <w:sz w:val="24"/>
          <w:szCs w:val="24"/>
        </w:rPr>
        <w:t xml:space="preserve"> (No 2)</w:t>
      </w:r>
      <w:r w:rsidRPr="002C3444">
        <w:rPr>
          <w:rFonts w:ascii="Times New Roman" w:hAnsi="Times New Roman" w:cs="Times New Roman"/>
          <w:sz w:val="24"/>
          <w:szCs w:val="24"/>
        </w:rPr>
        <w:t xml:space="preserve"> [2007] 1 FLR 946 (i.e. the four limbs of demonstrating the applicant cannot reasonably procure legal advice and representation)</w:t>
      </w:r>
    </w:p>
    <w:p w:rsidR="002C3444" w:rsidRPr="002C3444" w:rsidRDefault="002C3444" w:rsidP="002C3444">
      <w:pPr>
        <w:pStyle w:val="ListParagraph"/>
        <w:spacing w:line="360" w:lineRule="auto"/>
        <w:ind w:left="0"/>
        <w:jc w:val="both"/>
        <w:rPr>
          <w:rFonts w:ascii="Times New Roman" w:hAnsi="Times New Roman" w:cs="Times New Roman"/>
          <w:b/>
          <w:sz w:val="24"/>
          <w:szCs w:val="24"/>
        </w:rPr>
      </w:pPr>
    </w:p>
    <w:p w:rsidR="002C3444" w:rsidRPr="002C3444" w:rsidRDefault="002C3444" w:rsidP="002C3444">
      <w:pPr>
        <w:pStyle w:val="ListParagraph"/>
        <w:spacing w:line="360" w:lineRule="auto"/>
        <w:ind w:left="0"/>
        <w:jc w:val="both"/>
        <w:rPr>
          <w:rFonts w:ascii="Times New Roman" w:hAnsi="Times New Roman" w:cs="Times New Roman"/>
          <w:b/>
          <w:sz w:val="24"/>
          <w:szCs w:val="24"/>
        </w:rPr>
      </w:pPr>
    </w:p>
    <w:p w:rsidR="00070003" w:rsidRPr="002C3444" w:rsidRDefault="00070003" w:rsidP="00070003">
      <w:pPr>
        <w:pStyle w:val="ListParagraph"/>
        <w:ind w:left="0"/>
        <w:jc w:val="both"/>
        <w:rPr>
          <w:rFonts w:ascii="Times New Roman" w:hAnsi="Times New Roman" w:cs="Times New Roman"/>
          <w:sz w:val="24"/>
          <w:szCs w:val="24"/>
          <w:u w:val="single"/>
        </w:rPr>
      </w:pPr>
      <w:r w:rsidRPr="002C3444">
        <w:rPr>
          <w:rFonts w:ascii="Times New Roman" w:hAnsi="Times New Roman" w:cs="Times New Roman"/>
          <w:sz w:val="24"/>
          <w:szCs w:val="24"/>
          <w:u w:val="single"/>
        </w:rPr>
        <w:t>Costs</w:t>
      </w:r>
    </w:p>
    <w:p w:rsidR="00070003" w:rsidRPr="002C3444" w:rsidRDefault="00361187" w:rsidP="00361187">
      <w:pPr>
        <w:numPr>
          <w:ilvl w:val="0"/>
          <w:numId w:val="2"/>
        </w:numPr>
        <w:spacing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T</w:t>
      </w:r>
      <w:r w:rsidR="00070003" w:rsidRPr="002C3444">
        <w:rPr>
          <w:rFonts w:ascii="Times New Roman" w:hAnsi="Times New Roman" w:cs="Times New Roman"/>
          <w:sz w:val="24"/>
          <w:szCs w:val="24"/>
        </w:rPr>
        <w:t>he governing regime is CPR Parts 44</w:t>
      </w:r>
      <w:r w:rsidR="00070003" w:rsidRPr="002C3444">
        <w:rPr>
          <w:rFonts w:ascii="Times New Roman" w:hAnsi="Times New Roman" w:cs="Times New Roman"/>
          <w:vertAlign w:val="superscript"/>
        </w:rPr>
        <w:footnoteReference w:id="14"/>
      </w:r>
      <w:r w:rsidR="00070003" w:rsidRPr="002C3444">
        <w:rPr>
          <w:rFonts w:ascii="Times New Roman" w:hAnsi="Times New Roman" w:cs="Times New Roman"/>
          <w:sz w:val="24"/>
          <w:szCs w:val="24"/>
        </w:rPr>
        <w:t xml:space="preserve"> but </w:t>
      </w:r>
      <w:r w:rsidR="00070003" w:rsidRPr="002C3444">
        <w:rPr>
          <w:rFonts w:ascii="Times New Roman" w:hAnsi="Times New Roman" w:cs="Times New Roman"/>
          <w:i/>
          <w:sz w:val="24"/>
          <w:szCs w:val="24"/>
        </w:rPr>
        <w:t>without</w:t>
      </w:r>
      <w:r w:rsidR="00070003" w:rsidRPr="002C3444">
        <w:rPr>
          <w:rFonts w:ascii="Times New Roman" w:hAnsi="Times New Roman" w:cs="Times New Roman"/>
          <w:sz w:val="24"/>
          <w:szCs w:val="24"/>
        </w:rPr>
        <w:t xml:space="preserve"> the starting point of the unsuccessful party paying</w:t>
      </w:r>
      <w:r w:rsidR="00070003" w:rsidRPr="002C3444">
        <w:rPr>
          <w:rFonts w:ascii="Times New Roman" w:hAnsi="Times New Roman" w:cs="Times New Roman"/>
          <w:vertAlign w:val="superscript"/>
        </w:rPr>
        <w:footnoteReference w:id="15"/>
      </w:r>
      <w:r w:rsidR="00070003" w:rsidRPr="002C3444">
        <w:rPr>
          <w:rFonts w:ascii="Times New Roman" w:hAnsi="Times New Roman" w:cs="Times New Roman"/>
          <w:sz w:val="24"/>
          <w:szCs w:val="24"/>
        </w:rPr>
        <w:t xml:space="preserve">, i.e. </w:t>
      </w:r>
      <w:r w:rsidR="002B1E45">
        <w:rPr>
          <w:rFonts w:ascii="Times New Roman" w:hAnsi="Times New Roman" w:cs="Times New Roman"/>
          <w:sz w:val="24"/>
          <w:szCs w:val="24"/>
        </w:rPr>
        <w:t xml:space="preserve">a </w:t>
      </w:r>
      <w:r w:rsidR="00070003" w:rsidRPr="002C3444">
        <w:rPr>
          <w:rFonts w:ascii="Times New Roman" w:hAnsi="Times New Roman" w:cs="Times New Roman"/>
          <w:sz w:val="24"/>
          <w:szCs w:val="24"/>
        </w:rPr>
        <w:t>general discretion, taking into account all circumstanc</w:t>
      </w:r>
      <w:r w:rsidRPr="002C3444">
        <w:rPr>
          <w:rFonts w:ascii="Times New Roman" w:hAnsi="Times New Roman" w:cs="Times New Roman"/>
          <w:sz w:val="24"/>
          <w:szCs w:val="24"/>
        </w:rPr>
        <w:t>es set out at CPR 44.3(4), (5).</w:t>
      </w:r>
      <w:r w:rsidR="00070003" w:rsidRPr="002C3444">
        <w:rPr>
          <w:rFonts w:ascii="Times New Roman" w:hAnsi="Times New Roman" w:cs="Times New Roman"/>
          <w:sz w:val="24"/>
          <w:szCs w:val="24"/>
        </w:rPr>
        <w:t xml:space="preserve"> </w:t>
      </w:r>
      <w:r w:rsidRPr="002C3444">
        <w:rPr>
          <w:rFonts w:ascii="Times New Roman" w:hAnsi="Times New Roman" w:cs="Times New Roman"/>
          <w:sz w:val="24"/>
          <w:szCs w:val="24"/>
        </w:rPr>
        <w:t>C</w:t>
      </w:r>
      <w:r w:rsidR="00070003" w:rsidRPr="002C3444">
        <w:rPr>
          <w:rFonts w:ascii="Times New Roman" w:hAnsi="Times New Roman" w:cs="Times New Roman"/>
          <w:sz w:val="24"/>
          <w:szCs w:val="24"/>
        </w:rPr>
        <w:t xml:space="preserve">ritically </w:t>
      </w:r>
      <w:r w:rsidR="00070003" w:rsidRPr="002C3444">
        <w:rPr>
          <w:rFonts w:ascii="Times New Roman" w:hAnsi="Times New Roman" w:cs="Times New Roman"/>
          <w:i/>
          <w:sz w:val="24"/>
          <w:szCs w:val="24"/>
        </w:rPr>
        <w:t>Calderbank</w:t>
      </w:r>
      <w:r w:rsidR="00070003" w:rsidRPr="002C3444">
        <w:rPr>
          <w:rFonts w:ascii="Times New Roman" w:hAnsi="Times New Roman" w:cs="Times New Roman"/>
          <w:sz w:val="24"/>
          <w:szCs w:val="24"/>
        </w:rPr>
        <w:t xml:space="preserve"> letters are </w:t>
      </w:r>
      <w:r w:rsidRPr="002C3444">
        <w:rPr>
          <w:rFonts w:ascii="Times New Roman" w:hAnsi="Times New Roman" w:cs="Times New Roman"/>
          <w:sz w:val="24"/>
          <w:szCs w:val="24"/>
        </w:rPr>
        <w:t xml:space="preserve">admissible in Sch. 1 and should be sent. </w:t>
      </w:r>
      <w:r w:rsidR="00070003" w:rsidRPr="002C3444">
        <w:rPr>
          <w:rFonts w:ascii="Times New Roman" w:hAnsi="Times New Roman" w:cs="Times New Roman"/>
          <w:sz w:val="24"/>
          <w:szCs w:val="24"/>
        </w:rPr>
        <w:t xml:space="preserve">For a recent case in which costs were ordered (against the Applicant for her litigation misconduct in pursuing an entirely ‘misconceived’ application): see </w:t>
      </w:r>
      <w:r w:rsidR="00070003" w:rsidRPr="002C3444">
        <w:rPr>
          <w:rFonts w:ascii="Times New Roman" w:eastAsia="Times New Roman" w:hAnsi="Times New Roman" w:cs="Times New Roman"/>
          <w:i/>
          <w:sz w:val="24"/>
          <w:szCs w:val="24"/>
        </w:rPr>
        <w:t>PK v BC (Financial Remedies: Schedule 1)</w:t>
      </w:r>
      <w:r w:rsidR="00070003" w:rsidRPr="002C3444">
        <w:rPr>
          <w:rFonts w:ascii="Times New Roman" w:eastAsia="Times New Roman" w:hAnsi="Times New Roman" w:cs="Times New Roman"/>
          <w:sz w:val="24"/>
          <w:szCs w:val="24"/>
        </w:rPr>
        <w:t xml:space="preserve">  [2012] 2 FLR 1426;</w:t>
      </w:r>
    </w:p>
    <w:p w:rsidR="00070003" w:rsidRPr="002C3444" w:rsidRDefault="00070003" w:rsidP="00070003">
      <w:pPr>
        <w:pStyle w:val="ListParagraph"/>
        <w:spacing w:line="360" w:lineRule="auto"/>
        <w:ind w:left="1800"/>
        <w:jc w:val="both"/>
        <w:rPr>
          <w:rFonts w:ascii="Times New Roman" w:hAnsi="Times New Roman" w:cs="Times New Roman"/>
          <w:sz w:val="24"/>
          <w:szCs w:val="24"/>
        </w:rPr>
      </w:pPr>
    </w:p>
    <w:p w:rsidR="00070003" w:rsidRPr="002C3444" w:rsidRDefault="002B1E45" w:rsidP="00070003">
      <w:pPr>
        <w:pStyle w:val="ListParagraph"/>
        <w:numPr>
          <w:ilvl w:val="0"/>
          <w:numId w:val="2"/>
        </w:numPr>
        <w:spacing w:line="360" w:lineRule="auto"/>
        <w:ind w:hanging="720"/>
        <w:jc w:val="both"/>
        <w:rPr>
          <w:rFonts w:ascii="Times New Roman" w:hAnsi="Times New Roman" w:cs="Times New Roman"/>
          <w:sz w:val="24"/>
          <w:szCs w:val="24"/>
        </w:rPr>
      </w:pPr>
      <w:r>
        <w:rPr>
          <w:rFonts w:ascii="Times New Roman" w:eastAsia="Times New Roman" w:hAnsi="Times New Roman" w:cs="Times New Roman"/>
          <w:sz w:val="24"/>
          <w:szCs w:val="24"/>
        </w:rPr>
        <w:t xml:space="preserve">How does this operate in practice? See </w:t>
      </w:r>
      <w:r w:rsidR="00070003" w:rsidRPr="002C3444">
        <w:rPr>
          <w:rFonts w:ascii="Times New Roman" w:eastAsia="Times New Roman" w:hAnsi="Times New Roman" w:cs="Times New Roman"/>
          <w:sz w:val="24"/>
          <w:szCs w:val="24"/>
        </w:rPr>
        <w:t xml:space="preserve">Mostyn J in </w:t>
      </w:r>
      <w:r w:rsidR="00070003" w:rsidRPr="002C3444">
        <w:rPr>
          <w:rFonts w:ascii="Times New Roman" w:eastAsia="Times New Roman" w:hAnsi="Times New Roman" w:cs="Times New Roman"/>
          <w:i/>
          <w:sz w:val="24"/>
          <w:szCs w:val="24"/>
        </w:rPr>
        <w:t xml:space="preserve">KS v ND (Schedule 1: Appeal: Costs) </w:t>
      </w:r>
      <w:r w:rsidR="00070003" w:rsidRPr="002C3444">
        <w:rPr>
          <w:rFonts w:ascii="Times New Roman" w:eastAsia="Times New Roman" w:hAnsi="Times New Roman" w:cs="Times New Roman"/>
          <w:sz w:val="24"/>
          <w:szCs w:val="24"/>
        </w:rPr>
        <w:t>[2013] EWHC 464 (</w:t>
      </w:r>
      <w:proofErr w:type="spellStart"/>
      <w:r w:rsidR="00070003" w:rsidRPr="002C3444">
        <w:rPr>
          <w:rFonts w:ascii="Times New Roman" w:eastAsia="Times New Roman" w:hAnsi="Times New Roman" w:cs="Times New Roman"/>
          <w:sz w:val="24"/>
          <w:szCs w:val="24"/>
        </w:rPr>
        <w:t>Fam</w:t>
      </w:r>
      <w:proofErr w:type="spellEnd"/>
      <w:r w:rsidR="00070003" w:rsidRPr="002C3444">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p>
    <w:p w:rsidR="00070003" w:rsidRPr="002C3444" w:rsidRDefault="00070003" w:rsidP="00070003">
      <w:pPr>
        <w:pStyle w:val="ListParagraph"/>
        <w:numPr>
          <w:ilvl w:val="0"/>
          <w:numId w:val="25"/>
        </w:numPr>
        <w:spacing w:line="360" w:lineRule="auto"/>
        <w:jc w:val="both"/>
        <w:rPr>
          <w:rFonts w:ascii="Times New Roman" w:hAnsi="Times New Roman" w:cs="Times New Roman"/>
          <w:sz w:val="24"/>
          <w:szCs w:val="24"/>
        </w:rPr>
      </w:pPr>
      <w:r w:rsidRPr="002C3444">
        <w:rPr>
          <w:rFonts w:ascii="Times New Roman" w:eastAsia="Times New Roman" w:hAnsi="Times New Roman" w:cs="Times New Roman"/>
          <w:sz w:val="24"/>
          <w:szCs w:val="24"/>
        </w:rPr>
        <w:t>The position with respect to costs in Sch. 1 claims now effectively restores the position in all family financial proceedings before 3.4.06 (i.e. before the ‘new costs rules’ originally in FPR 1991, r. 2.71): para [18]</w:t>
      </w:r>
    </w:p>
    <w:p w:rsidR="00070003" w:rsidRPr="002C3444" w:rsidRDefault="00070003" w:rsidP="00070003">
      <w:pPr>
        <w:pStyle w:val="ListParagraph"/>
        <w:numPr>
          <w:ilvl w:val="0"/>
          <w:numId w:val="25"/>
        </w:numPr>
        <w:spacing w:line="360" w:lineRule="auto"/>
        <w:jc w:val="both"/>
        <w:rPr>
          <w:rFonts w:ascii="Times New Roman" w:hAnsi="Times New Roman" w:cs="Times New Roman"/>
          <w:sz w:val="24"/>
          <w:szCs w:val="24"/>
        </w:rPr>
      </w:pPr>
      <w:r w:rsidRPr="002C3444">
        <w:rPr>
          <w:rFonts w:ascii="Times New Roman" w:eastAsia="Times New Roman" w:hAnsi="Times New Roman" w:cs="Times New Roman"/>
          <w:sz w:val="24"/>
          <w:szCs w:val="24"/>
        </w:rPr>
        <w:t xml:space="preserve">It is debatable whether costs now follow the event. </w:t>
      </w:r>
      <w:r w:rsidR="002B1E45">
        <w:rPr>
          <w:rFonts w:ascii="Times New Roman" w:eastAsia="Times New Roman" w:hAnsi="Times New Roman" w:cs="Times New Roman"/>
          <w:sz w:val="24"/>
          <w:szCs w:val="24"/>
        </w:rPr>
        <w:t>Mostyn J doubts</w:t>
      </w:r>
      <w:r w:rsidRPr="002C3444">
        <w:rPr>
          <w:rFonts w:ascii="Times New Roman" w:eastAsia="Times New Roman" w:hAnsi="Times New Roman" w:cs="Times New Roman"/>
          <w:sz w:val="24"/>
          <w:szCs w:val="24"/>
        </w:rPr>
        <w:t xml:space="preserve"> if this </w:t>
      </w:r>
      <w:r w:rsidR="002B1E45">
        <w:rPr>
          <w:rFonts w:ascii="Times New Roman" w:eastAsia="Times New Roman" w:hAnsi="Times New Roman" w:cs="Times New Roman"/>
          <w:sz w:val="24"/>
          <w:szCs w:val="24"/>
        </w:rPr>
        <w:t>is appropriate</w:t>
      </w:r>
      <w:r w:rsidRPr="002C3444">
        <w:rPr>
          <w:rFonts w:ascii="Times New Roman" w:eastAsia="Times New Roman" w:hAnsi="Times New Roman" w:cs="Times New Roman"/>
          <w:sz w:val="24"/>
          <w:szCs w:val="24"/>
        </w:rPr>
        <w:t xml:space="preserve"> in Sch. 1 where </w:t>
      </w:r>
      <w:r w:rsidR="002B1E45">
        <w:rPr>
          <w:rFonts w:ascii="Times New Roman" w:eastAsia="Times New Roman" w:hAnsi="Times New Roman" w:cs="Times New Roman"/>
          <w:sz w:val="24"/>
          <w:szCs w:val="24"/>
        </w:rPr>
        <w:t xml:space="preserve">the applicant claims in a “representative </w:t>
      </w:r>
      <w:r w:rsidR="002B1E45">
        <w:rPr>
          <w:rFonts w:ascii="Times New Roman" w:eastAsia="Times New Roman" w:hAnsi="Times New Roman" w:cs="Times New Roman"/>
          <w:sz w:val="24"/>
          <w:szCs w:val="24"/>
        </w:rPr>
        <w:lastRenderedPageBreak/>
        <w:t xml:space="preserve">capacity” on behalf of the child. Mostyn J’s preferred solution is that the court starts with a </w:t>
      </w:r>
      <w:r w:rsidRPr="002C3444">
        <w:rPr>
          <w:rFonts w:ascii="Times New Roman" w:eastAsia="Times New Roman" w:hAnsi="Times New Roman" w:cs="Times New Roman"/>
          <w:sz w:val="24"/>
          <w:szCs w:val="24"/>
        </w:rPr>
        <w:t xml:space="preserve">‘clean sheet’ approach to costs, </w:t>
      </w:r>
      <w:r w:rsidR="002B1E45">
        <w:rPr>
          <w:rFonts w:ascii="Times New Roman" w:eastAsia="Times New Roman" w:hAnsi="Times New Roman" w:cs="Times New Roman"/>
          <w:sz w:val="24"/>
          <w:szCs w:val="24"/>
        </w:rPr>
        <w:t>(</w:t>
      </w:r>
      <w:r w:rsidRPr="002C3444">
        <w:rPr>
          <w:rFonts w:ascii="Times New Roman" w:eastAsia="Times New Roman" w:hAnsi="Times New Roman" w:cs="Times New Roman"/>
          <w:sz w:val="24"/>
          <w:szCs w:val="24"/>
        </w:rPr>
        <w:t xml:space="preserve">cf. </w:t>
      </w:r>
      <w:r w:rsidR="002B1E45">
        <w:rPr>
          <w:rFonts w:ascii="Times New Roman" w:eastAsia="Times New Roman" w:hAnsi="Times New Roman" w:cs="Times New Roman"/>
          <w:sz w:val="24"/>
          <w:szCs w:val="24"/>
        </w:rPr>
        <w:t xml:space="preserve">position in intervener claims, see </w:t>
      </w:r>
      <w:r w:rsidRPr="002C3444">
        <w:rPr>
          <w:rFonts w:ascii="Times New Roman" w:eastAsia="Times New Roman" w:hAnsi="Times New Roman" w:cs="Times New Roman"/>
          <w:i/>
          <w:sz w:val="24"/>
          <w:szCs w:val="24"/>
        </w:rPr>
        <w:t>Baker v Rowe</w:t>
      </w:r>
      <w:r w:rsidR="002B1E45">
        <w:rPr>
          <w:rFonts w:ascii="Times New Roman" w:eastAsia="Times New Roman" w:hAnsi="Times New Roman" w:cs="Times New Roman"/>
          <w:sz w:val="24"/>
          <w:szCs w:val="24"/>
        </w:rPr>
        <w:t xml:space="preserve"> [2010] 1 FLR 761</w:t>
      </w:r>
      <w:r w:rsidRPr="002C3444">
        <w:rPr>
          <w:rFonts w:ascii="Times New Roman" w:eastAsia="Times New Roman" w:hAnsi="Times New Roman" w:cs="Times New Roman"/>
          <w:sz w:val="24"/>
          <w:szCs w:val="24"/>
        </w:rPr>
        <w:t>: para. [19]</w:t>
      </w:r>
      <w:r w:rsidR="002B1E45">
        <w:rPr>
          <w:rFonts w:ascii="Times New Roman" w:eastAsia="Times New Roman" w:hAnsi="Times New Roman" w:cs="Times New Roman"/>
          <w:sz w:val="24"/>
          <w:szCs w:val="24"/>
        </w:rPr>
        <w:t>)</w:t>
      </w:r>
    </w:p>
    <w:p w:rsidR="00070003" w:rsidRPr="002C3444" w:rsidRDefault="00070003" w:rsidP="00070003">
      <w:pPr>
        <w:pStyle w:val="ListParagraph"/>
        <w:numPr>
          <w:ilvl w:val="0"/>
          <w:numId w:val="25"/>
        </w:numPr>
        <w:spacing w:line="360" w:lineRule="auto"/>
        <w:jc w:val="both"/>
        <w:rPr>
          <w:rFonts w:ascii="Times New Roman" w:hAnsi="Times New Roman" w:cs="Times New Roman"/>
          <w:sz w:val="24"/>
          <w:szCs w:val="24"/>
        </w:rPr>
      </w:pPr>
      <w:r w:rsidRPr="002C3444">
        <w:rPr>
          <w:rFonts w:ascii="Times New Roman" w:eastAsia="Times New Roman" w:hAnsi="Times New Roman" w:cs="Times New Roman"/>
          <w:sz w:val="24"/>
          <w:szCs w:val="24"/>
        </w:rPr>
        <w:t xml:space="preserve">The </w:t>
      </w:r>
      <w:r w:rsidR="002B1E45">
        <w:rPr>
          <w:rFonts w:ascii="Times New Roman" w:eastAsia="Times New Roman" w:hAnsi="Times New Roman" w:cs="Times New Roman"/>
          <w:sz w:val="24"/>
          <w:szCs w:val="24"/>
        </w:rPr>
        <w:t xml:space="preserve">litigation </w:t>
      </w:r>
      <w:r w:rsidRPr="002C3444">
        <w:rPr>
          <w:rFonts w:ascii="Times New Roman" w:eastAsia="Times New Roman" w:hAnsi="Times New Roman" w:cs="Times New Roman"/>
          <w:sz w:val="24"/>
          <w:szCs w:val="24"/>
        </w:rPr>
        <w:t>conduct of the parties (CPR 44.3(4)) is “the first thing to write on the clean sheet”: para. [21]</w:t>
      </w:r>
    </w:p>
    <w:p w:rsidR="00070003" w:rsidRPr="002C3444" w:rsidRDefault="00070003" w:rsidP="00070003">
      <w:pPr>
        <w:pStyle w:val="ListParagraph"/>
        <w:numPr>
          <w:ilvl w:val="0"/>
          <w:numId w:val="25"/>
        </w:numPr>
        <w:spacing w:line="360" w:lineRule="auto"/>
        <w:jc w:val="both"/>
        <w:rPr>
          <w:rFonts w:ascii="Times New Roman" w:hAnsi="Times New Roman" w:cs="Times New Roman"/>
          <w:sz w:val="24"/>
          <w:szCs w:val="24"/>
        </w:rPr>
      </w:pPr>
      <w:r w:rsidRPr="002C3444">
        <w:rPr>
          <w:rFonts w:ascii="Times New Roman" w:eastAsia="Times New Roman" w:hAnsi="Times New Roman" w:cs="Times New Roman"/>
          <w:sz w:val="24"/>
          <w:szCs w:val="24"/>
        </w:rPr>
        <w:t xml:space="preserve">However </w:t>
      </w:r>
      <w:r w:rsidR="002B1E45">
        <w:rPr>
          <w:rFonts w:ascii="Times New Roman" w:eastAsia="Times New Roman" w:hAnsi="Times New Roman" w:cs="Times New Roman"/>
          <w:sz w:val="24"/>
          <w:szCs w:val="24"/>
        </w:rPr>
        <w:t xml:space="preserve">pre-issue </w:t>
      </w:r>
      <w:r w:rsidRPr="002C3444">
        <w:rPr>
          <w:rFonts w:ascii="Times New Roman" w:eastAsia="Times New Roman" w:hAnsi="Times New Roman" w:cs="Times New Roman"/>
          <w:sz w:val="24"/>
          <w:szCs w:val="24"/>
        </w:rPr>
        <w:t>conduct “…can only be relevant where it has a direct causal connection with the later generation of costs”: para. [23]</w:t>
      </w:r>
    </w:p>
    <w:p w:rsidR="00070003" w:rsidRPr="002C3444" w:rsidRDefault="00070003" w:rsidP="00070003">
      <w:pPr>
        <w:pStyle w:val="ListParagraph"/>
        <w:numPr>
          <w:ilvl w:val="0"/>
          <w:numId w:val="25"/>
        </w:numPr>
        <w:spacing w:line="360" w:lineRule="auto"/>
        <w:jc w:val="both"/>
        <w:rPr>
          <w:rFonts w:ascii="Times New Roman" w:hAnsi="Times New Roman" w:cs="Times New Roman"/>
          <w:sz w:val="24"/>
          <w:szCs w:val="24"/>
        </w:rPr>
      </w:pPr>
      <w:r w:rsidRPr="002C3444">
        <w:rPr>
          <w:rFonts w:ascii="Times New Roman" w:eastAsia="Times New Roman" w:hAnsi="Times New Roman" w:cs="Times New Roman"/>
          <w:sz w:val="24"/>
          <w:szCs w:val="24"/>
        </w:rPr>
        <w:t>As to costs of the appeal, “the usual rule of thumb is that about 70% of costs are allowed on a standard assessment” – para. [35], which is what M shall pay to F which (as an ‘act of mercy’) is ordered over instalments.</w:t>
      </w:r>
    </w:p>
    <w:p w:rsidR="00070003" w:rsidRPr="002C3444" w:rsidRDefault="00070003" w:rsidP="00070003">
      <w:pPr>
        <w:spacing w:line="360" w:lineRule="auto"/>
        <w:contextualSpacing/>
        <w:jc w:val="both"/>
        <w:rPr>
          <w:rFonts w:ascii="Times New Roman" w:hAnsi="Times New Roman" w:cs="Times New Roman"/>
          <w:b/>
          <w:sz w:val="24"/>
          <w:szCs w:val="24"/>
          <w:u w:val="single"/>
        </w:rPr>
      </w:pPr>
    </w:p>
    <w:p w:rsidR="00070003" w:rsidRPr="002C3444" w:rsidRDefault="00070003" w:rsidP="00070003">
      <w:pPr>
        <w:pStyle w:val="NoSpacing"/>
        <w:spacing w:line="360" w:lineRule="auto"/>
        <w:jc w:val="both"/>
        <w:rPr>
          <w:b/>
        </w:rPr>
      </w:pPr>
      <w:r w:rsidRPr="002C3444">
        <w:rPr>
          <w:b/>
        </w:rPr>
        <w:t>ORDERS AVAILABLE</w:t>
      </w:r>
    </w:p>
    <w:p w:rsidR="00070003" w:rsidRPr="002C3444" w:rsidRDefault="00070003" w:rsidP="00070003">
      <w:pPr>
        <w:pStyle w:val="ListParagraph"/>
        <w:numPr>
          <w:ilvl w:val="0"/>
          <w:numId w:val="2"/>
        </w:numPr>
        <w:spacing w:after="0" w:line="360" w:lineRule="auto"/>
        <w:ind w:hanging="720"/>
        <w:jc w:val="both"/>
        <w:rPr>
          <w:rFonts w:ascii="Times New Roman" w:hAnsi="Times New Roman" w:cs="Times New Roman"/>
          <w:sz w:val="24"/>
          <w:szCs w:val="24"/>
        </w:rPr>
      </w:pPr>
      <w:r w:rsidRPr="002C3444">
        <w:rPr>
          <w:rFonts w:ascii="Times New Roman" w:hAnsi="Times New Roman" w:cs="Times New Roman"/>
          <w:sz w:val="24"/>
          <w:szCs w:val="24"/>
          <w:u w:val="single"/>
        </w:rPr>
        <w:t>Where the child is not yet 18</w:t>
      </w:r>
      <w:r w:rsidRPr="002C3444">
        <w:rPr>
          <w:rFonts w:ascii="Times New Roman" w:hAnsi="Times New Roman" w:cs="Times New Roman"/>
          <w:sz w:val="24"/>
          <w:szCs w:val="24"/>
        </w:rPr>
        <w:t>: under Sch. 1, para. 1(2) possible orders are:-</w:t>
      </w:r>
    </w:p>
    <w:p w:rsidR="00070003" w:rsidRPr="002C3444" w:rsidRDefault="00070003" w:rsidP="00070003">
      <w:pPr>
        <w:numPr>
          <w:ilvl w:val="1"/>
          <w:numId w:val="19"/>
        </w:numPr>
        <w:tabs>
          <w:tab w:val="num" w:pos="1560"/>
        </w:tabs>
        <w:spacing w:after="0" w:line="360" w:lineRule="auto"/>
        <w:jc w:val="both"/>
        <w:rPr>
          <w:rFonts w:ascii="Times New Roman" w:hAnsi="Times New Roman" w:cs="Times New Roman"/>
          <w:sz w:val="24"/>
          <w:szCs w:val="24"/>
        </w:rPr>
      </w:pPr>
      <w:r w:rsidRPr="002C3444">
        <w:rPr>
          <w:rFonts w:ascii="Times New Roman" w:hAnsi="Times New Roman" w:cs="Times New Roman"/>
          <w:sz w:val="24"/>
          <w:szCs w:val="24"/>
        </w:rPr>
        <w:t>Periodical payments;</w:t>
      </w:r>
    </w:p>
    <w:p w:rsidR="00070003" w:rsidRPr="002C3444" w:rsidRDefault="00070003" w:rsidP="00070003">
      <w:pPr>
        <w:numPr>
          <w:ilvl w:val="1"/>
          <w:numId w:val="19"/>
        </w:numPr>
        <w:tabs>
          <w:tab w:val="num" w:pos="1560"/>
        </w:tabs>
        <w:spacing w:after="0" w:line="360" w:lineRule="auto"/>
        <w:jc w:val="both"/>
        <w:rPr>
          <w:rFonts w:ascii="Times New Roman" w:hAnsi="Times New Roman" w:cs="Times New Roman"/>
          <w:sz w:val="24"/>
          <w:szCs w:val="24"/>
        </w:rPr>
      </w:pPr>
      <w:r w:rsidRPr="002C3444">
        <w:rPr>
          <w:rFonts w:ascii="Times New Roman" w:hAnsi="Times New Roman" w:cs="Times New Roman"/>
          <w:sz w:val="24"/>
          <w:szCs w:val="24"/>
        </w:rPr>
        <w:t>Secured periodical payments;</w:t>
      </w:r>
    </w:p>
    <w:p w:rsidR="00070003" w:rsidRPr="002C3444" w:rsidRDefault="00070003" w:rsidP="00070003">
      <w:pPr>
        <w:numPr>
          <w:ilvl w:val="1"/>
          <w:numId w:val="19"/>
        </w:numPr>
        <w:tabs>
          <w:tab w:val="num" w:pos="1560"/>
        </w:tabs>
        <w:spacing w:after="0" w:line="360" w:lineRule="auto"/>
        <w:jc w:val="both"/>
        <w:rPr>
          <w:rFonts w:ascii="Times New Roman" w:hAnsi="Times New Roman" w:cs="Times New Roman"/>
          <w:sz w:val="24"/>
          <w:szCs w:val="24"/>
        </w:rPr>
      </w:pPr>
      <w:r w:rsidRPr="002C3444">
        <w:rPr>
          <w:rFonts w:ascii="Times New Roman" w:hAnsi="Times New Roman" w:cs="Times New Roman"/>
          <w:sz w:val="24"/>
          <w:szCs w:val="24"/>
        </w:rPr>
        <w:t>Lump sum;</w:t>
      </w:r>
    </w:p>
    <w:p w:rsidR="00070003" w:rsidRPr="002C3444" w:rsidRDefault="00070003" w:rsidP="00070003">
      <w:pPr>
        <w:numPr>
          <w:ilvl w:val="1"/>
          <w:numId w:val="19"/>
        </w:numPr>
        <w:tabs>
          <w:tab w:val="num" w:pos="1560"/>
        </w:tabs>
        <w:spacing w:after="0" w:line="360" w:lineRule="auto"/>
        <w:jc w:val="both"/>
        <w:rPr>
          <w:rFonts w:ascii="Times New Roman" w:hAnsi="Times New Roman" w:cs="Times New Roman"/>
          <w:sz w:val="24"/>
          <w:szCs w:val="24"/>
        </w:rPr>
      </w:pPr>
      <w:r w:rsidRPr="002C3444">
        <w:rPr>
          <w:rFonts w:ascii="Times New Roman" w:hAnsi="Times New Roman" w:cs="Times New Roman"/>
          <w:sz w:val="24"/>
          <w:szCs w:val="24"/>
        </w:rPr>
        <w:t>Settlement of property or transfer of property.</w:t>
      </w:r>
    </w:p>
    <w:p w:rsidR="00070003" w:rsidRPr="002C3444" w:rsidRDefault="00070003" w:rsidP="00070003">
      <w:pPr>
        <w:spacing w:line="360" w:lineRule="auto"/>
        <w:ind w:left="720"/>
        <w:contextualSpacing/>
        <w:jc w:val="both"/>
        <w:rPr>
          <w:rFonts w:ascii="Times New Roman" w:eastAsia="Times New Roman" w:hAnsi="Times New Roman" w:cs="Times New Roman"/>
          <w:sz w:val="24"/>
          <w:szCs w:val="24"/>
        </w:rPr>
      </w:pPr>
    </w:p>
    <w:p w:rsidR="00070003" w:rsidRPr="002C3444" w:rsidRDefault="00070003" w:rsidP="00070003">
      <w:pPr>
        <w:numPr>
          <w:ilvl w:val="0"/>
          <w:numId w:val="2"/>
        </w:numPr>
        <w:spacing w:line="360" w:lineRule="auto"/>
        <w:ind w:hanging="720"/>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This can include step-children provided that the parents were married or civil partners</w:t>
      </w:r>
      <w:r w:rsidRPr="002C3444">
        <w:rPr>
          <w:rFonts w:ascii="Times New Roman" w:eastAsia="Times New Roman" w:hAnsi="Times New Roman" w:cs="Times New Roman"/>
          <w:sz w:val="24"/>
          <w:szCs w:val="24"/>
          <w:vertAlign w:val="superscript"/>
        </w:rPr>
        <w:footnoteReference w:id="16"/>
      </w:r>
      <w:r w:rsidRPr="002C3444">
        <w:rPr>
          <w:rFonts w:ascii="Times New Roman" w:eastAsia="Times New Roman" w:hAnsi="Times New Roman" w:cs="Times New Roman"/>
          <w:sz w:val="24"/>
          <w:szCs w:val="24"/>
        </w:rPr>
        <w:t xml:space="preserve">.  There is no jurisdiction to make orders in favour of another person’s child where the parties are not married/ civil partners: </w:t>
      </w:r>
      <w:r w:rsidRPr="002C3444">
        <w:rPr>
          <w:rFonts w:ascii="Times New Roman" w:eastAsia="Times New Roman" w:hAnsi="Times New Roman" w:cs="Times New Roman"/>
          <w:i/>
          <w:sz w:val="24"/>
          <w:szCs w:val="24"/>
        </w:rPr>
        <w:t>Morgan v Hill</w:t>
      </w:r>
      <w:r w:rsidRPr="002C3444">
        <w:rPr>
          <w:rFonts w:ascii="Times New Roman" w:eastAsia="Times New Roman" w:hAnsi="Times New Roman" w:cs="Times New Roman"/>
          <w:sz w:val="24"/>
          <w:szCs w:val="24"/>
        </w:rPr>
        <w:t xml:space="preserve"> [2007] 1 FLR 1480 at [38];</w:t>
      </w:r>
    </w:p>
    <w:p w:rsidR="00070003" w:rsidRPr="002C3444" w:rsidRDefault="00070003" w:rsidP="00070003">
      <w:pPr>
        <w:spacing w:after="0" w:line="360" w:lineRule="auto"/>
        <w:ind w:left="720" w:hanging="720"/>
        <w:contextualSpacing/>
        <w:jc w:val="both"/>
        <w:rPr>
          <w:rFonts w:ascii="Times New Roman" w:hAnsi="Times New Roman" w:cs="Times New Roman"/>
          <w:sz w:val="24"/>
          <w:szCs w:val="24"/>
        </w:rPr>
      </w:pPr>
    </w:p>
    <w:p w:rsidR="00070003" w:rsidRPr="002C3444" w:rsidRDefault="00070003" w:rsidP="00070003">
      <w:pPr>
        <w:numPr>
          <w:ilvl w:val="0"/>
          <w:numId w:val="2"/>
        </w:numPr>
        <w:spacing w:after="0"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u w:val="single"/>
        </w:rPr>
        <w:t>Where the child is 18 or over</w:t>
      </w:r>
      <w:r w:rsidRPr="002C3444">
        <w:rPr>
          <w:rFonts w:ascii="Times New Roman" w:hAnsi="Times New Roman" w:cs="Times New Roman"/>
          <w:sz w:val="24"/>
          <w:szCs w:val="24"/>
        </w:rPr>
        <w:t xml:space="preserve"> </w:t>
      </w:r>
      <w:r w:rsidRPr="002C3444">
        <w:rPr>
          <w:rFonts w:ascii="Times New Roman" w:eastAsia="Times New Roman" w:hAnsi="Times New Roman" w:cs="Times New Roman"/>
          <w:sz w:val="24"/>
          <w:szCs w:val="24"/>
        </w:rPr>
        <w:t>who is (or will be) undergoing education or training</w:t>
      </w:r>
      <w:r w:rsidRPr="002C3444">
        <w:rPr>
          <w:rStyle w:val="FootnoteReference"/>
          <w:rFonts w:ascii="Times New Roman" w:eastAsia="Times New Roman" w:hAnsi="Times New Roman" w:cs="Times New Roman"/>
          <w:sz w:val="24"/>
          <w:szCs w:val="24"/>
        </w:rPr>
        <w:footnoteReference w:id="17"/>
      </w:r>
      <w:r w:rsidRPr="002C3444">
        <w:rPr>
          <w:rFonts w:ascii="Times New Roman" w:eastAsia="Times New Roman" w:hAnsi="Times New Roman" w:cs="Times New Roman"/>
          <w:sz w:val="24"/>
          <w:szCs w:val="24"/>
        </w:rPr>
        <w:t xml:space="preserve"> or where there are special circumstances (typically physical or other disability</w:t>
      </w:r>
      <w:r w:rsidRPr="002C3444">
        <w:rPr>
          <w:rFonts w:ascii="Times New Roman" w:eastAsia="Times New Roman" w:hAnsi="Times New Roman" w:cs="Times New Roman"/>
          <w:sz w:val="24"/>
          <w:szCs w:val="24"/>
          <w:vertAlign w:val="superscript"/>
        </w:rPr>
        <w:footnoteReference w:id="18"/>
      </w:r>
      <w:r w:rsidRPr="002C3444">
        <w:rPr>
          <w:rFonts w:ascii="Times New Roman" w:eastAsia="Times New Roman" w:hAnsi="Times New Roman" w:cs="Times New Roman"/>
          <w:sz w:val="24"/>
          <w:szCs w:val="24"/>
        </w:rPr>
        <w:t xml:space="preserve">) provided that (a) no periodical payments order was in force with respect to the </w:t>
      </w:r>
      <w:r w:rsidRPr="002C3444">
        <w:rPr>
          <w:rFonts w:ascii="Times New Roman" w:eastAsia="Times New Roman" w:hAnsi="Times New Roman" w:cs="Times New Roman"/>
          <w:sz w:val="24"/>
          <w:szCs w:val="24"/>
        </w:rPr>
        <w:lastRenderedPageBreak/>
        <w:t>application before 16</w:t>
      </w:r>
      <w:r w:rsidRPr="002C3444">
        <w:rPr>
          <w:rFonts w:ascii="Times New Roman" w:eastAsia="Times New Roman" w:hAnsi="Times New Roman" w:cs="Times New Roman"/>
          <w:sz w:val="24"/>
          <w:szCs w:val="24"/>
          <w:vertAlign w:val="superscript"/>
        </w:rPr>
        <w:t>th</w:t>
      </w:r>
      <w:r w:rsidRPr="002C3444">
        <w:rPr>
          <w:rFonts w:ascii="Times New Roman" w:eastAsia="Times New Roman" w:hAnsi="Times New Roman" w:cs="Times New Roman"/>
          <w:sz w:val="24"/>
          <w:szCs w:val="24"/>
        </w:rPr>
        <w:t xml:space="preserve"> birthday</w:t>
      </w:r>
      <w:r w:rsidRPr="002C3444">
        <w:rPr>
          <w:rFonts w:ascii="Times New Roman" w:eastAsia="Times New Roman" w:hAnsi="Times New Roman" w:cs="Times New Roman"/>
          <w:sz w:val="24"/>
          <w:szCs w:val="24"/>
          <w:vertAlign w:val="superscript"/>
        </w:rPr>
        <w:footnoteReference w:id="19"/>
      </w:r>
      <w:r w:rsidRPr="002C3444">
        <w:rPr>
          <w:rFonts w:ascii="Times New Roman" w:eastAsia="Times New Roman" w:hAnsi="Times New Roman" w:cs="Times New Roman"/>
          <w:sz w:val="24"/>
          <w:szCs w:val="24"/>
        </w:rPr>
        <w:t xml:space="preserve"> [</w:t>
      </w:r>
      <w:r w:rsidRPr="002C3444">
        <w:rPr>
          <w:rFonts w:ascii="Times New Roman" w:eastAsia="Times New Roman" w:hAnsi="Times New Roman" w:cs="Times New Roman"/>
          <w:i/>
          <w:sz w:val="24"/>
          <w:szCs w:val="24"/>
        </w:rPr>
        <w:t>PITFALL #1</w:t>
      </w:r>
      <w:r w:rsidRPr="002C3444">
        <w:rPr>
          <w:rFonts w:ascii="Times New Roman" w:eastAsia="Times New Roman" w:hAnsi="Times New Roman" w:cs="Times New Roman"/>
          <w:sz w:val="24"/>
          <w:szCs w:val="24"/>
        </w:rPr>
        <w:t>] and (b) the parents are not living in same household</w:t>
      </w:r>
      <w:r w:rsidRPr="002C3444">
        <w:rPr>
          <w:rFonts w:ascii="Times New Roman" w:eastAsia="Times New Roman" w:hAnsi="Times New Roman" w:cs="Times New Roman"/>
          <w:sz w:val="24"/>
          <w:szCs w:val="24"/>
          <w:vertAlign w:val="superscript"/>
        </w:rPr>
        <w:footnoteReference w:id="20"/>
      </w:r>
      <w:r w:rsidRPr="002C3444">
        <w:rPr>
          <w:rFonts w:ascii="Times New Roman" w:eastAsia="Times New Roman" w:hAnsi="Times New Roman" w:cs="Times New Roman"/>
          <w:sz w:val="24"/>
          <w:szCs w:val="24"/>
        </w:rPr>
        <w:t xml:space="preserve"> </w:t>
      </w:r>
      <w:r w:rsidRPr="002C3444">
        <w:rPr>
          <w:rFonts w:ascii="Times New Roman" w:hAnsi="Times New Roman" w:cs="Times New Roman"/>
          <w:sz w:val="24"/>
          <w:szCs w:val="24"/>
        </w:rPr>
        <w:t>Under Schedule 1, paragraph 2(2), possible orders are:-</w:t>
      </w:r>
    </w:p>
    <w:p w:rsidR="00070003" w:rsidRPr="002C3444" w:rsidRDefault="00070003" w:rsidP="00070003">
      <w:pPr>
        <w:numPr>
          <w:ilvl w:val="0"/>
          <w:numId w:val="20"/>
        </w:numPr>
        <w:spacing w:after="0" w:line="360" w:lineRule="auto"/>
        <w:jc w:val="both"/>
        <w:rPr>
          <w:rFonts w:ascii="Times New Roman" w:hAnsi="Times New Roman" w:cs="Times New Roman"/>
          <w:sz w:val="24"/>
          <w:szCs w:val="24"/>
        </w:rPr>
      </w:pPr>
      <w:r w:rsidRPr="002C3444">
        <w:rPr>
          <w:rFonts w:ascii="Times New Roman" w:hAnsi="Times New Roman" w:cs="Times New Roman"/>
          <w:sz w:val="24"/>
          <w:szCs w:val="24"/>
        </w:rPr>
        <w:t>Periodical payments;</w:t>
      </w:r>
    </w:p>
    <w:p w:rsidR="00070003" w:rsidRPr="002C3444" w:rsidRDefault="00070003" w:rsidP="00070003">
      <w:pPr>
        <w:numPr>
          <w:ilvl w:val="0"/>
          <w:numId w:val="20"/>
        </w:numPr>
        <w:spacing w:after="0" w:line="360" w:lineRule="auto"/>
        <w:jc w:val="both"/>
        <w:rPr>
          <w:rFonts w:ascii="Times New Roman" w:hAnsi="Times New Roman" w:cs="Times New Roman"/>
          <w:sz w:val="24"/>
          <w:szCs w:val="24"/>
        </w:rPr>
      </w:pPr>
      <w:r w:rsidRPr="002C3444">
        <w:rPr>
          <w:rFonts w:ascii="Times New Roman" w:hAnsi="Times New Roman" w:cs="Times New Roman"/>
          <w:sz w:val="24"/>
          <w:szCs w:val="24"/>
        </w:rPr>
        <w:t>Lump sum.</w:t>
      </w:r>
    </w:p>
    <w:p w:rsidR="00070003" w:rsidRPr="002C3444" w:rsidRDefault="00070003" w:rsidP="00070003">
      <w:pPr>
        <w:spacing w:line="360" w:lineRule="auto"/>
        <w:contextualSpacing/>
        <w:jc w:val="both"/>
        <w:rPr>
          <w:rFonts w:ascii="Times New Roman" w:hAnsi="Times New Roman" w:cs="Times New Roman"/>
          <w:sz w:val="24"/>
          <w:szCs w:val="24"/>
        </w:rPr>
      </w:pPr>
    </w:p>
    <w:p w:rsidR="00070003" w:rsidRPr="002C3444" w:rsidRDefault="00070003" w:rsidP="00070003">
      <w:pPr>
        <w:spacing w:line="360" w:lineRule="auto"/>
        <w:contextualSpacing/>
        <w:jc w:val="both"/>
        <w:rPr>
          <w:rFonts w:ascii="Times New Roman" w:hAnsi="Times New Roman" w:cs="Times New Roman"/>
          <w:sz w:val="24"/>
          <w:szCs w:val="24"/>
        </w:rPr>
      </w:pPr>
    </w:p>
    <w:p w:rsidR="00070003" w:rsidRPr="002C3444" w:rsidRDefault="00070003" w:rsidP="00070003">
      <w:pPr>
        <w:spacing w:line="360" w:lineRule="auto"/>
        <w:contextualSpacing/>
        <w:jc w:val="both"/>
        <w:rPr>
          <w:rFonts w:ascii="Times New Roman" w:hAnsi="Times New Roman" w:cs="Times New Roman"/>
          <w:b/>
          <w:sz w:val="24"/>
          <w:szCs w:val="24"/>
        </w:rPr>
      </w:pPr>
      <w:r w:rsidRPr="002C3444">
        <w:rPr>
          <w:rFonts w:ascii="Times New Roman" w:hAnsi="Times New Roman" w:cs="Times New Roman"/>
          <w:b/>
          <w:sz w:val="24"/>
          <w:szCs w:val="24"/>
        </w:rPr>
        <w:t>SETTLEMENT OF PROPERTY</w:t>
      </w:r>
    </w:p>
    <w:p w:rsidR="00070003" w:rsidRPr="002C3444" w:rsidRDefault="00070003" w:rsidP="00070003">
      <w:pPr>
        <w:numPr>
          <w:ilvl w:val="0"/>
          <w:numId w:val="2"/>
        </w:numPr>
        <w:spacing w:line="360" w:lineRule="auto"/>
        <w:ind w:hanging="720"/>
        <w:contextualSpacing/>
        <w:jc w:val="both"/>
        <w:rPr>
          <w:rFonts w:ascii="Times New Roman" w:eastAsia="Times New Roman" w:hAnsi="Times New Roman" w:cs="Times New Roman"/>
          <w:sz w:val="24"/>
          <w:szCs w:val="24"/>
        </w:rPr>
      </w:pPr>
      <w:r w:rsidRPr="002C3444">
        <w:rPr>
          <w:rFonts w:ascii="Times New Roman" w:hAnsi="Times New Roman" w:cs="Times New Roman"/>
          <w:sz w:val="24"/>
          <w:szCs w:val="24"/>
        </w:rPr>
        <w:t>The standard of living enjoyed by the parties during their relationship is not a statutory criterion. However subsequent case law has established that a child is entitled to be brought up in circumstances that ‘…bear some sort of relation’ to the father’s accommodation:</w:t>
      </w:r>
    </w:p>
    <w:p w:rsidR="00070003" w:rsidRPr="002C3444" w:rsidRDefault="00070003" w:rsidP="00070003">
      <w:pPr>
        <w:ind w:left="1440" w:right="566"/>
        <w:contextualSpacing/>
        <w:jc w:val="both"/>
        <w:rPr>
          <w:rFonts w:ascii="Times New Roman" w:hAnsi="Times New Roman" w:cs="Times New Roman"/>
          <w:sz w:val="21"/>
          <w:szCs w:val="21"/>
        </w:rPr>
      </w:pPr>
      <w:r w:rsidRPr="002C3444">
        <w:rPr>
          <w:rFonts w:ascii="Times New Roman" w:hAnsi="Times New Roman" w:cs="Times New Roman"/>
          <w:sz w:val="21"/>
          <w:szCs w:val="21"/>
        </w:rPr>
        <w:t xml:space="preserve">“I also agree with his Honour Judge Collins in </w:t>
      </w:r>
      <w:r w:rsidRPr="002C3444">
        <w:rPr>
          <w:rFonts w:ascii="Times New Roman" w:hAnsi="Times New Roman" w:cs="Times New Roman"/>
          <w:i/>
          <w:iCs/>
          <w:sz w:val="21"/>
          <w:szCs w:val="21"/>
        </w:rPr>
        <w:t>H v P</w:t>
      </w:r>
      <w:r w:rsidRPr="002C3444">
        <w:rPr>
          <w:rFonts w:ascii="Times New Roman" w:hAnsi="Times New Roman" w:cs="Times New Roman"/>
          <w:sz w:val="21"/>
          <w:szCs w:val="21"/>
        </w:rPr>
        <w:t xml:space="preserve"> that the child is entitled to be brought up in circumstances which bear some sort of relationship with the father’s current resources and the father’s present standard of living.” </w:t>
      </w:r>
      <w:r w:rsidRPr="002C3444">
        <w:rPr>
          <w:rFonts w:ascii="Times New Roman" w:hAnsi="Times New Roman" w:cs="Times New Roman"/>
          <w:i/>
          <w:sz w:val="21"/>
          <w:szCs w:val="21"/>
        </w:rPr>
        <w:t xml:space="preserve">J v C (Child; Financial Provision) </w:t>
      </w:r>
      <w:r w:rsidRPr="002C3444">
        <w:rPr>
          <w:rFonts w:ascii="Times New Roman" w:hAnsi="Times New Roman" w:cs="Times New Roman"/>
          <w:sz w:val="21"/>
          <w:szCs w:val="21"/>
        </w:rPr>
        <w:t>[1999] 1 FLR 152</w:t>
      </w:r>
      <w:proofErr w:type="gramStart"/>
      <w:r w:rsidRPr="002C3444">
        <w:rPr>
          <w:rFonts w:ascii="Times New Roman" w:hAnsi="Times New Roman" w:cs="Times New Roman"/>
          <w:sz w:val="21"/>
          <w:szCs w:val="21"/>
        </w:rPr>
        <w:t>,per</w:t>
      </w:r>
      <w:proofErr w:type="gramEnd"/>
      <w:r w:rsidRPr="002C3444">
        <w:rPr>
          <w:rFonts w:ascii="Times New Roman" w:hAnsi="Times New Roman" w:cs="Times New Roman"/>
          <w:sz w:val="21"/>
          <w:szCs w:val="21"/>
        </w:rPr>
        <w:t xml:space="preserve"> Hale J at 160</w:t>
      </w:r>
    </w:p>
    <w:p w:rsidR="00070003" w:rsidRPr="002C3444" w:rsidRDefault="00070003" w:rsidP="00070003">
      <w:pPr>
        <w:ind w:left="1440" w:right="566"/>
        <w:contextualSpacing/>
        <w:jc w:val="both"/>
        <w:rPr>
          <w:rFonts w:ascii="Times New Roman" w:hAnsi="Times New Roman" w:cs="Times New Roman"/>
          <w:sz w:val="21"/>
          <w:szCs w:val="21"/>
        </w:rPr>
      </w:pPr>
    </w:p>
    <w:p w:rsidR="00070003" w:rsidRPr="002C3444" w:rsidRDefault="00070003" w:rsidP="00070003">
      <w:pPr>
        <w:ind w:left="1440" w:right="566"/>
        <w:contextualSpacing/>
        <w:jc w:val="both"/>
        <w:rPr>
          <w:rFonts w:ascii="Times New Roman" w:hAnsi="Times New Roman" w:cs="Times New Roman"/>
          <w:sz w:val="21"/>
          <w:szCs w:val="21"/>
        </w:rPr>
      </w:pPr>
      <w:r w:rsidRPr="002C3444">
        <w:rPr>
          <w:rFonts w:ascii="Times New Roman" w:hAnsi="Times New Roman" w:cs="Times New Roman"/>
          <w:sz w:val="21"/>
          <w:szCs w:val="21"/>
        </w:rPr>
        <w:t xml:space="preserve">“At that point I pause to comment that what is stated in </w:t>
      </w:r>
      <w:r w:rsidRPr="002C3444">
        <w:rPr>
          <w:rFonts w:ascii="Times New Roman" w:hAnsi="Times New Roman" w:cs="Times New Roman"/>
          <w:i/>
          <w:iCs/>
          <w:sz w:val="21"/>
          <w:szCs w:val="21"/>
        </w:rPr>
        <w:t xml:space="preserve">J &amp; C </w:t>
      </w:r>
      <w:r w:rsidRPr="002C3444">
        <w:rPr>
          <w:rFonts w:ascii="Times New Roman" w:hAnsi="Times New Roman" w:cs="Times New Roman"/>
          <w:sz w:val="21"/>
          <w:szCs w:val="21"/>
        </w:rPr>
        <w:t xml:space="preserve">is that the child is entitled to be brought up in circumstances which, I emphasise, bear some sort of relationship with the father’s current resources and the father’s present standard of living. That is an approach expressly approved in </w:t>
      </w:r>
      <w:r w:rsidRPr="002C3444">
        <w:rPr>
          <w:rFonts w:ascii="Times New Roman" w:hAnsi="Times New Roman" w:cs="Times New Roman"/>
          <w:i/>
          <w:iCs/>
          <w:sz w:val="21"/>
          <w:szCs w:val="21"/>
        </w:rPr>
        <w:t>Re P</w:t>
      </w:r>
      <w:r w:rsidRPr="002C3444">
        <w:rPr>
          <w:rFonts w:ascii="Times New Roman" w:hAnsi="Times New Roman" w:cs="Times New Roman"/>
          <w:sz w:val="21"/>
          <w:szCs w:val="21"/>
        </w:rPr>
        <w:t xml:space="preserve">. So, the link is ‘bear </w:t>
      </w:r>
      <w:r w:rsidRPr="002C3444">
        <w:rPr>
          <w:rFonts w:ascii="Times New Roman" w:hAnsi="Times New Roman" w:cs="Times New Roman"/>
          <w:i/>
          <w:iCs/>
          <w:sz w:val="21"/>
          <w:szCs w:val="21"/>
        </w:rPr>
        <w:t xml:space="preserve">some sort of relationship </w:t>
      </w:r>
      <w:r w:rsidRPr="002C3444">
        <w:rPr>
          <w:rFonts w:ascii="Times New Roman" w:hAnsi="Times New Roman" w:cs="Times New Roman"/>
          <w:sz w:val="21"/>
          <w:szCs w:val="21"/>
        </w:rPr>
        <w:t xml:space="preserve">with.’” </w:t>
      </w:r>
      <w:r w:rsidRPr="002C3444">
        <w:rPr>
          <w:rFonts w:ascii="Times New Roman" w:hAnsi="Times New Roman" w:cs="Times New Roman"/>
          <w:i/>
          <w:sz w:val="21"/>
          <w:szCs w:val="21"/>
        </w:rPr>
        <w:t xml:space="preserve">MT v OT (Financial Provision: Costs) </w:t>
      </w:r>
      <w:r w:rsidRPr="002C3444">
        <w:rPr>
          <w:rFonts w:ascii="Times New Roman" w:hAnsi="Times New Roman" w:cs="Times New Roman"/>
          <w:sz w:val="21"/>
          <w:szCs w:val="21"/>
        </w:rPr>
        <w:t>[2008] 2 FLR 1311, per Charles J at [99]</w:t>
      </w:r>
    </w:p>
    <w:p w:rsidR="00070003" w:rsidRPr="002C3444" w:rsidRDefault="00070003" w:rsidP="00070003">
      <w:pPr>
        <w:ind w:left="1440" w:right="566"/>
        <w:contextualSpacing/>
        <w:jc w:val="both"/>
        <w:rPr>
          <w:rFonts w:ascii="Times New Roman" w:hAnsi="Times New Roman" w:cs="Times New Roman"/>
          <w:sz w:val="21"/>
          <w:szCs w:val="21"/>
        </w:rPr>
      </w:pPr>
    </w:p>
    <w:p w:rsidR="00070003" w:rsidRPr="002C3444" w:rsidRDefault="00070003" w:rsidP="00070003">
      <w:pPr>
        <w:ind w:left="1440" w:right="566"/>
        <w:contextualSpacing/>
        <w:jc w:val="both"/>
        <w:rPr>
          <w:rFonts w:ascii="Times New Roman" w:hAnsi="Times New Roman" w:cs="Times New Roman"/>
          <w:sz w:val="21"/>
          <w:szCs w:val="21"/>
        </w:rPr>
      </w:pPr>
      <w:r w:rsidRPr="002C3444">
        <w:rPr>
          <w:rFonts w:ascii="Times New Roman" w:hAnsi="Times New Roman" w:cs="Times New Roman"/>
          <w:sz w:val="21"/>
          <w:szCs w:val="21"/>
        </w:rPr>
        <w:t xml:space="preserve">“..the discretionary application of the Schedule will generally involve holding in tension the child’s entitlement to be brought up in circumstances which bear some sort of relationship to the paying father’s resources and present standard of living while guarding against unreasonable claims on child’s behalf which contain a disguised element providing for the mother’s benefit rather than the child” </w:t>
      </w:r>
      <w:r w:rsidRPr="002C3444">
        <w:rPr>
          <w:rFonts w:ascii="Times New Roman" w:hAnsi="Times New Roman" w:cs="Times New Roman"/>
          <w:i/>
          <w:sz w:val="21"/>
          <w:szCs w:val="21"/>
        </w:rPr>
        <w:t>PG v TW (No 2) (Child: Financial Provision)</w:t>
      </w:r>
      <w:r w:rsidRPr="002C3444">
        <w:rPr>
          <w:rFonts w:ascii="Times New Roman" w:hAnsi="Times New Roman" w:cs="Times New Roman"/>
          <w:sz w:val="21"/>
          <w:szCs w:val="21"/>
        </w:rPr>
        <w:t xml:space="preserve"> [2012] HHJ Horowitz QC at [34]</w:t>
      </w:r>
    </w:p>
    <w:p w:rsidR="00070003" w:rsidRPr="002C3444" w:rsidRDefault="00070003" w:rsidP="00070003">
      <w:pPr>
        <w:spacing w:line="360" w:lineRule="auto"/>
        <w:contextualSpacing/>
        <w:jc w:val="both"/>
        <w:rPr>
          <w:rFonts w:ascii="Times New Roman" w:hAnsi="Times New Roman" w:cs="Times New Roman"/>
          <w:sz w:val="24"/>
          <w:szCs w:val="24"/>
        </w:rPr>
      </w:pPr>
    </w:p>
    <w:p w:rsidR="00070003" w:rsidRPr="002C3444" w:rsidRDefault="00070003" w:rsidP="00070003">
      <w:pPr>
        <w:numPr>
          <w:ilvl w:val="0"/>
          <w:numId w:val="2"/>
        </w:numPr>
        <w:spacing w:after="0" w:line="360" w:lineRule="auto"/>
        <w:ind w:hanging="720"/>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The leading case in claims that fall </w:t>
      </w:r>
      <w:r w:rsidRPr="002C3444">
        <w:rPr>
          <w:rFonts w:ascii="Times New Roman" w:hAnsi="Times New Roman" w:cs="Times New Roman"/>
          <w:color w:val="000000"/>
          <w:sz w:val="24"/>
          <w:szCs w:val="24"/>
        </w:rPr>
        <w:t xml:space="preserve">“…somewhere on the spectrum from affluent to fabulously rich” </w:t>
      </w:r>
      <w:r w:rsidRPr="002C3444">
        <w:rPr>
          <w:rFonts w:ascii="Times New Roman" w:eastAsia="Times New Roman" w:hAnsi="Times New Roman" w:cs="Times New Roman"/>
          <w:sz w:val="24"/>
          <w:szCs w:val="24"/>
        </w:rPr>
        <w:t xml:space="preserve">remains </w:t>
      </w:r>
      <w:r w:rsidRPr="002C3444">
        <w:rPr>
          <w:rFonts w:ascii="Times New Roman" w:hAnsi="Times New Roman" w:cs="Times New Roman"/>
          <w:bCs/>
          <w:i/>
          <w:iCs/>
          <w:color w:val="000000"/>
          <w:sz w:val="24"/>
          <w:szCs w:val="24"/>
        </w:rPr>
        <w:t>Re P (Child: Financial Provision)</w:t>
      </w:r>
      <w:r w:rsidRPr="002C3444">
        <w:rPr>
          <w:rFonts w:ascii="Times New Roman" w:hAnsi="Times New Roman" w:cs="Times New Roman"/>
          <w:bCs/>
          <w:iCs/>
          <w:color w:val="000000"/>
          <w:sz w:val="24"/>
          <w:szCs w:val="24"/>
        </w:rPr>
        <w:t xml:space="preserve"> [2003] 2 FLR 865 in which Thorpe LJ </w:t>
      </w:r>
      <w:r w:rsidRPr="002C3444">
        <w:rPr>
          <w:rFonts w:ascii="Times New Roman" w:hAnsi="Times New Roman" w:cs="Times New Roman"/>
          <w:color w:val="000000"/>
          <w:sz w:val="24"/>
          <w:szCs w:val="24"/>
        </w:rPr>
        <w:t>gave the following guidance in cases (between [45] and [47])</w:t>
      </w:r>
    </w:p>
    <w:p w:rsidR="00070003" w:rsidRPr="002B1E45" w:rsidRDefault="00070003" w:rsidP="002B1E45">
      <w:pPr>
        <w:pStyle w:val="ListParagraph"/>
        <w:numPr>
          <w:ilvl w:val="3"/>
          <w:numId w:val="1"/>
        </w:numPr>
        <w:tabs>
          <w:tab w:val="clear" w:pos="2880"/>
          <w:tab w:val="num" w:pos="1985"/>
        </w:tabs>
        <w:autoSpaceDE w:val="0"/>
        <w:autoSpaceDN w:val="0"/>
        <w:adjustRightInd w:val="0"/>
        <w:spacing w:after="0" w:line="360" w:lineRule="auto"/>
        <w:ind w:left="1985" w:hanging="851"/>
        <w:jc w:val="both"/>
        <w:rPr>
          <w:rFonts w:ascii="Times New Roman" w:hAnsi="Times New Roman" w:cs="Times New Roman"/>
          <w:color w:val="000000"/>
          <w:sz w:val="24"/>
          <w:szCs w:val="24"/>
        </w:rPr>
      </w:pPr>
      <w:r w:rsidRPr="002B1E45">
        <w:rPr>
          <w:rFonts w:ascii="Times New Roman" w:hAnsi="Times New Roman" w:cs="Times New Roman"/>
          <w:color w:val="000000"/>
          <w:sz w:val="24"/>
          <w:szCs w:val="24"/>
        </w:rPr>
        <w:lastRenderedPageBreak/>
        <w:t>Firstly, determine the nature of the housing need- value, size and location all bear upon the ‘reasonable capital cost of furnishing and equipping it as well as upon future income needs’;</w:t>
      </w:r>
    </w:p>
    <w:p w:rsidR="00070003" w:rsidRPr="002C3444" w:rsidRDefault="00070003" w:rsidP="002B1E45">
      <w:pPr>
        <w:numPr>
          <w:ilvl w:val="3"/>
          <w:numId w:val="1"/>
        </w:numPr>
        <w:tabs>
          <w:tab w:val="clear" w:pos="2880"/>
          <w:tab w:val="num" w:pos="1985"/>
        </w:tabs>
        <w:autoSpaceDE w:val="0"/>
        <w:autoSpaceDN w:val="0"/>
        <w:adjustRightInd w:val="0"/>
        <w:spacing w:after="0" w:line="360" w:lineRule="auto"/>
        <w:ind w:left="1985" w:hanging="851"/>
        <w:contextualSpacing/>
        <w:jc w:val="both"/>
        <w:rPr>
          <w:rFonts w:ascii="Times New Roman" w:hAnsi="Times New Roman" w:cs="Times New Roman"/>
          <w:color w:val="000000"/>
          <w:sz w:val="24"/>
          <w:szCs w:val="24"/>
        </w:rPr>
      </w:pPr>
      <w:r w:rsidRPr="002C3444">
        <w:rPr>
          <w:rFonts w:ascii="Times New Roman" w:hAnsi="Times New Roman" w:cs="Times New Roman"/>
          <w:color w:val="000000"/>
          <w:sz w:val="24"/>
          <w:szCs w:val="24"/>
        </w:rPr>
        <w:t xml:space="preserve">Secondly, determine the lump sum required for furnishing and equipping the home, the cost of a family car etc. (see below) </w:t>
      </w:r>
    </w:p>
    <w:p w:rsidR="00070003" w:rsidRPr="002C3444" w:rsidRDefault="00070003" w:rsidP="002B1E45">
      <w:pPr>
        <w:numPr>
          <w:ilvl w:val="3"/>
          <w:numId w:val="1"/>
        </w:numPr>
        <w:tabs>
          <w:tab w:val="clear" w:pos="2880"/>
          <w:tab w:val="num" w:pos="1985"/>
        </w:tabs>
        <w:autoSpaceDE w:val="0"/>
        <w:autoSpaceDN w:val="0"/>
        <w:adjustRightInd w:val="0"/>
        <w:spacing w:after="0" w:line="360" w:lineRule="auto"/>
        <w:ind w:left="1985" w:hanging="851"/>
        <w:contextualSpacing/>
        <w:jc w:val="both"/>
        <w:rPr>
          <w:rFonts w:ascii="Times New Roman" w:hAnsi="Times New Roman" w:cs="Times New Roman"/>
          <w:color w:val="000000"/>
          <w:sz w:val="24"/>
          <w:szCs w:val="24"/>
        </w:rPr>
      </w:pPr>
      <w:r w:rsidRPr="002C3444">
        <w:rPr>
          <w:rFonts w:ascii="Times New Roman" w:hAnsi="Times New Roman" w:cs="Times New Roman"/>
          <w:color w:val="000000"/>
          <w:sz w:val="24"/>
          <w:szCs w:val="24"/>
        </w:rPr>
        <w:t>Determine the level of maintenance generously, recognising the responsibility and often sacrifice of the primary carer, taking a broad-brush approach (“…</w:t>
      </w:r>
      <w:r w:rsidRPr="002C3444">
        <w:rPr>
          <w:rFonts w:ascii="Times New Roman" w:eastAsia="Times New Roman" w:hAnsi="Times New Roman" w:cs="Times New Roman"/>
          <w:sz w:val="24"/>
          <w:szCs w:val="24"/>
        </w:rPr>
        <w:t>the court should discourage undue bickering over budgets” [47])</w:t>
      </w:r>
    </w:p>
    <w:p w:rsidR="00070003" w:rsidRPr="002C3444" w:rsidRDefault="00070003" w:rsidP="00070003">
      <w:pPr>
        <w:spacing w:after="0" w:line="360" w:lineRule="auto"/>
        <w:ind w:left="1800"/>
        <w:contextualSpacing/>
        <w:jc w:val="both"/>
        <w:rPr>
          <w:rFonts w:ascii="Times New Roman" w:eastAsia="Times New Roman" w:hAnsi="Times New Roman" w:cs="Times New Roman"/>
          <w:sz w:val="24"/>
          <w:szCs w:val="24"/>
        </w:rPr>
      </w:pPr>
    </w:p>
    <w:p w:rsidR="00070003" w:rsidRPr="002C3444" w:rsidRDefault="00070003" w:rsidP="00070003">
      <w:pPr>
        <w:numPr>
          <w:ilvl w:val="0"/>
          <w:numId w:val="2"/>
        </w:numPr>
        <w:spacing w:after="0" w:line="360" w:lineRule="auto"/>
        <w:ind w:hanging="720"/>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Only one settlement of property order is possible</w:t>
      </w:r>
      <w:r w:rsidRPr="002C3444">
        <w:rPr>
          <w:rFonts w:ascii="Times New Roman" w:eastAsia="Times New Roman" w:hAnsi="Times New Roman" w:cs="Times New Roman"/>
          <w:sz w:val="24"/>
          <w:szCs w:val="24"/>
          <w:vertAlign w:val="superscript"/>
        </w:rPr>
        <w:footnoteReference w:id="21"/>
      </w:r>
      <w:r w:rsidRPr="002C3444">
        <w:rPr>
          <w:rFonts w:ascii="Times New Roman" w:eastAsia="Times New Roman" w:hAnsi="Times New Roman" w:cs="Times New Roman"/>
          <w:sz w:val="24"/>
          <w:szCs w:val="24"/>
        </w:rPr>
        <w:t xml:space="preserve"> [</w:t>
      </w:r>
      <w:r w:rsidRPr="002C3444">
        <w:rPr>
          <w:rFonts w:ascii="Times New Roman" w:eastAsia="Times New Roman" w:hAnsi="Times New Roman" w:cs="Times New Roman"/>
          <w:i/>
          <w:sz w:val="24"/>
          <w:szCs w:val="24"/>
        </w:rPr>
        <w:t>PITFALL #2</w:t>
      </w:r>
      <w:r w:rsidRPr="002C3444">
        <w:rPr>
          <w:rFonts w:ascii="Times New Roman" w:eastAsia="Times New Roman" w:hAnsi="Times New Roman" w:cs="Times New Roman"/>
          <w:sz w:val="24"/>
          <w:szCs w:val="24"/>
        </w:rPr>
        <w:t>]. A property reverts when the child reaches his majority or completes his education</w:t>
      </w:r>
      <w:r w:rsidRPr="002C3444">
        <w:rPr>
          <w:rFonts w:ascii="Times New Roman" w:eastAsia="Times New Roman" w:hAnsi="Times New Roman" w:cs="Times New Roman"/>
          <w:sz w:val="24"/>
          <w:szCs w:val="24"/>
          <w:vertAlign w:val="superscript"/>
        </w:rPr>
        <w:footnoteReference w:id="22"/>
      </w:r>
      <w:r w:rsidRPr="002C3444">
        <w:rPr>
          <w:rFonts w:ascii="Times New Roman" w:eastAsia="Times New Roman" w:hAnsi="Times New Roman" w:cs="Times New Roman"/>
          <w:sz w:val="24"/>
          <w:szCs w:val="24"/>
        </w:rPr>
        <w:t xml:space="preserve">, save for exceptional / ‘special’ circumstances such as disability/ life-long needs. The case of </w:t>
      </w:r>
      <w:r w:rsidRPr="002C3444">
        <w:rPr>
          <w:rFonts w:ascii="Times New Roman" w:eastAsia="Times New Roman" w:hAnsi="Times New Roman" w:cs="Times New Roman"/>
          <w:i/>
          <w:sz w:val="24"/>
          <w:szCs w:val="24"/>
        </w:rPr>
        <w:t xml:space="preserve">MT v OT (Financial Provision: Costs) </w:t>
      </w:r>
      <w:r w:rsidRPr="002C3444">
        <w:rPr>
          <w:rFonts w:ascii="Times New Roman" w:eastAsia="Times New Roman" w:hAnsi="Times New Roman" w:cs="Times New Roman"/>
          <w:sz w:val="24"/>
          <w:szCs w:val="24"/>
        </w:rPr>
        <w:t xml:space="preserve">[2008] 2 FLR 1311 establishes (1) a father’s exceptional wealth is </w:t>
      </w:r>
      <w:r w:rsidRPr="002C3444">
        <w:rPr>
          <w:rFonts w:ascii="Times New Roman" w:eastAsia="Times New Roman" w:hAnsi="Times New Roman" w:cs="Times New Roman"/>
          <w:sz w:val="24"/>
          <w:szCs w:val="24"/>
          <w:u w:val="single"/>
        </w:rPr>
        <w:t>not</w:t>
      </w:r>
      <w:r w:rsidRPr="002C3444">
        <w:rPr>
          <w:rFonts w:ascii="Times New Roman" w:eastAsia="Times New Roman" w:hAnsi="Times New Roman" w:cs="Times New Roman"/>
          <w:sz w:val="24"/>
          <w:szCs w:val="24"/>
        </w:rPr>
        <w:t xml:space="preserve"> a special case that may justify outright transfer</w:t>
      </w:r>
      <w:r w:rsidRPr="002C3444">
        <w:rPr>
          <w:rFonts w:ascii="Times New Roman" w:eastAsia="Times New Roman" w:hAnsi="Times New Roman" w:cs="Times New Roman"/>
          <w:sz w:val="24"/>
          <w:szCs w:val="24"/>
          <w:vertAlign w:val="superscript"/>
        </w:rPr>
        <w:footnoteReference w:id="23"/>
      </w:r>
      <w:r w:rsidRPr="002C3444">
        <w:rPr>
          <w:rFonts w:ascii="Times New Roman" w:eastAsia="Times New Roman" w:hAnsi="Times New Roman" w:cs="Times New Roman"/>
          <w:sz w:val="24"/>
          <w:szCs w:val="24"/>
        </w:rPr>
        <w:t xml:space="preserve">, but (2) it might justify a period of grace after a child completes their education: i.e. two years. </w:t>
      </w:r>
    </w:p>
    <w:p w:rsidR="00070003" w:rsidRPr="002C3444" w:rsidRDefault="00070003" w:rsidP="00070003">
      <w:pPr>
        <w:spacing w:after="0" w:line="360" w:lineRule="auto"/>
        <w:ind w:left="720" w:hanging="720"/>
        <w:contextualSpacing/>
        <w:jc w:val="both"/>
        <w:rPr>
          <w:rFonts w:ascii="Times New Roman" w:eastAsia="Times New Roman" w:hAnsi="Times New Roman" w:cs="Times New Roman"/>
          <w:sz w:val="24"/>
          <w:szCs w:val="24"/>
        </w:rPr>
      </w:pPr>
    </w:p>
    <w:p w:rsidR="00070003" w:rsidRPr="002C3444" w:rsidRDefault="00070003" w:rsidP="00070003">
      <w:pPr>
        <w:numPr>
          <w:ilvl w:val="0"/>
          <w:numId w:val="2"/>
        </w:numPr>
        <w:spacing w:after="0" w:line="360" w:lineRule="auto"/>
        <w:ind w:hanging="720"/>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An recent and interesting case on the court’s approach in a medium asset case is Baron J’s decision in </w:t>
      </w:r>
      <w:r w:rsidRPr="002C3444">
        <w:rPr>
          <w:rFonts w:ascii="Times New Roman" w:hAnsi="Times New Roman" w:cs="Times New Roman"/>
          <w:i/>
          <w:sz w:val="24"/>
          <w:szCs w:val="24"/>
        </w:rPr>
        <w:t>DE v AB (Financial Provision for Child)</w:t>
      </w:r>
      <w:r w:rsidRPr="002C3444">
        <w:rPr>
          <w:rFonts w:ascii="Times New Roman" w:hAnsi="Times New Roman" w:cs="Times New Roman"/>
          <w:sz w:val="24"/>
          <w:szCs w:val="24"/>
        </w:rPr>
        <w:t xml:space="preserve"> [2012] 2 FLR 1396 where both parties lived had beyond their means: F’s redundancy package of £950k had reduced to equity of £350k, M had lost her job after obtaining a mortgage of £570k and in circumstances where F wanted </w:t>
      </w:r>
      <w:proofErr w:type="spellStart"/>
      <w:r w:rsidRPr="002C3444">
        <w:rPr>
          <w:rFonts w:ascii="Times New Roman" w:hAnsi="Times New Roman" w:cs="Times New Roman"/>
          <w:sz w:val="24"/>
          <w:szCs w:val="24"/>
        </w:rPr>
        <w:t>M</w:t>
      </w:r>
      <w:proofErr w:type="spellEnd"/>
      <w:r w:rsidRPr="002C3444">
        <w:rPr>
          <w:rFonts w:ascii="Times New Roman" w:hAnsi="Times New Roman" w:cs="Times New Roman"/>
          <w:sz w:val="24"/>
          <w:szCs w:val="24"/>
        </w:rPr>
        <w:t xml:space="preserve"> to terminate the pregnancy. F proposed no housing fund (M should rent); M sought sale of F’s house to enable her to remain in her own property. Decision at first instance:  F to pay £335k comprising £250k housing fund and £85 lump sum. Unsurprisingly F appealed and on appeal the </w:t>
      </w:r>
      <w:r w:rsidRPr="002C3444">
        <w:rPr>
          <w:rFonts w:ascii="Times New Roman" w:hAnsi="Times New Roman" w:cs="Times New Roman"/>
          <w:sz w:val="24"/>
          <w:szCs w:val="24"/>
        </w:rPr>
        <w:lastRenderedPageBreak/>
        <w:t>latter lump sum was reduced to £40,000 (</w:t>
      </w:r>
      <w:proofErr w:type="gramStart"/>
      <w:r w:rsidRPr="002C3444">
        <w:rPr>
          <w:rFonts w:ascii="Times New Roman" w:hAnsi="Times New Roman" w:cs="Times New Roman"/>
          <w:sz w:val="24"/>
          <w:szCs w:val="24"/>
        </w:rPr>
        <w:t>total</w:t>
      </w:r>
      <w:proofErr w:type="gramEnd"/>
      <w:r w:rsidRPr="002C3444">
        <w:rPr>
          <w:rFonts w:ascii="Times New Roman" w:hAnsi="Times New Roman" w:cs="Times New Roman"/>
          <w:sz w:val="24"/>
          <w:szCs w:val="24"/>
        </w:rPr>
        <w:t xml:space="preserve"> therefore £290,000). The decision illustrates:</w:t>
      </w:r>
    </w:p>
    <w:p w:rsidR="00070003" w:rsidRPr="002C3444" w:rsidRDefault="00070003" w:rsidP="00070003">
      <w:pPr>
        <w:numPr>
          <w:ilvl w:val="0"/>
          <w:numId w:val="18"/>
        </w:numPr>
        <w:spacing w:after="0" w:line="360" w:lineRule="auto"/>
        <w:ind w:left="1701" w:hanging="567"/>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The court draws no distinction between wanted and unwanted children</w:t>
      </w:r>
      <w:r w:rsidRPr="002C3444">
        <w:rPr>
          <w:rFonts w:ascii="Times New Roman" w:eastAsia="Times New Roman" w:hAnsi="Times New Roman" w:cs="Times New Roman"/>
          <w:sz w:val="24"/>
          <w:szCs w:val="24"/>
          <w:vertAlign w:val="superscript"/>
        </w:rPr>
        <w:footnoteReference w:id="24"/>
      </w:r>
      <w:r w:rsidRPr="002C3444">
        <w:rPr>
          <w:rFonts w:ascii="Times New Roman" w:eastAsia="Times New Roman" w:hAnsi="Times New Roman" w:cs="Times New Roman"/>
          <w:sz w:val="24"/>
          <w:szCs w:val="24"/>
        </w:rPr>
        <w:t>;</w:t>
      </w:r>
    </w:p>
    <w:p w:rsidR="00070003" w:rsidRPr="002C3444" w:rsidRDefault="00070003" w:rsidP="00070003">
      <w:pPr>
        <w:numPr>
          <w:ilvl w:val="0"/>
          <w:numId w:val="18"/>
        </w:numPr>
        <w:spacing w:after="0" w:line="360" w:lineRule="auto"/>
        <w:ind w:left="1701" w:hanging="567"/>
        <w:contextualSpacing/>
        <w:jc w:val="both"/>
        <w:rPr>
          <w:rFonts w:ascii="Times New Roman" w:eastAsia="Times New Roman" w:hAnsi="Times New Roman" w:cs="Times New Roman"/>
          <w:sz w:val="24"/>
          <w:szCs w:val="24"/>
        </w:rPr>
      </w:pPr>
      <w:r w:rsidRPr="002C3444">
        <w:rPr>
          <w:rFonts w:ascii="Times New Roman" w:hAnsi="Times New Roman" w:cs="Times New Roman"/>
          <w:color w:val="262626" w:themeColor="text1" w:themeTint="D9"/>
          <w:sz w:val="24"/>
          <w:szCs w:val="24"/>
        </w:rPr>
        <w:t>The court’s approach in Schedule 1 involved a ‘broad view’/ ‘a broad brush assessment’ ([34] to [36])</w:t>
      </w:r>
    </w:p>
    <w:p w:rsidR="00070003" w:rsidRPr="002C3444" w:rsidRDefault="00070003" w:rsidP="00070003">
      <w:pPr>
        <w:numPr>
          <w:ilvl w:val="0"/>
          <w:numId w:val="18"/>
        </w:numPr>
        <w:spacing w:after="0" w:line="360" w:lineRule="auto"/>
        <w:ind w:left="1701" w:hanging="567"/>
        <w:contextualSpacing/>
        <w:jc w:val="both"/>
        <w:rPr>
          <w:rFonts w:ascii="Times New Roman" w:eastAsia="Times New Roman" w:hAnsi="Times New Roman" w:cs="Times New Roman"/>
          <w:sz w:val="24"/>
          <w:szCs w:val="24"/>
        </w:rPr>
      </w:pPr>
      <w:r w:rsidRPr="002C3444">
        <w:rPr>
          <w:rFonts w:ascii="Times New Roman" w:hAnsi="Times New Roman" w:cs="Times New Roman"/>
          <w:color w:val="262626" w:themeColor="text1" w:themeTint="D9"/>
          <w:sz w:val="24"/>
          <w:szCs w:val="24"/>
        </w:rPr>
        <w:t>The appeal against the housing fund of £250k was without hope: (Baron J expressing surprise this had not been conceded: [42])</w:t>
      </w:r>
    </w:p>
    <w:p w:rsidR="00070003" w:rsidRPr="002C3444" w:rsidRDefault="00070003" w:rsidP="00070003">
      <w:pPr>
        <w:numPr>
          <w:ilvl w:val="0"/>
          <w:numId w:val="18"/>
        </w:numPr>
        <w:spacing w:after="0" w:line="360" w:lineRule="auto"/>
        <w:ind w:left="1701" w:hanging="567"/>
        <w:contextualSpacing/>
        <w:jc w:val="both"/>
        <w:rPr>
          <w:rFonts w:ascii="Times New Roman" w:eastAsia="Times New Roman" w:hAnsi="Times New Roman" w:cs="Times New Roman"/>
          <w:sz w:val="24"/>
          <w:szCs w:val="24"/>
        </w:rPr>
      </w:pPr>
      <w:r w:rsidRPr="002C3444">
        <w:rPr>
          <w:rFonts w:ascii="Times New Roman" w:hAnsi="Times New Roman" w:cs="Times New Roman"/>
          <w:color w:val="262626" w:themeColor="text1" w:themeTint="D9"/>
          <w:sz w:val="24"/>
          <w:szCs w:val="24"/>
        </w:rPr>
        <w:t>There had been no error in law in allowing a lump sum to cover housing costs and debt built up in meeting mortgage interest since these were for the direct benefit of the child ([38] to [39]) but £85k was unfair as it would leave H with no capital.</w:t>
      </w:r>
    </w:p>
    <w:p w:rsidR="00070003" w:rsidRPr="002C3444" w:rsidRDefault="00070003" w:rsidP="00070003">
      <w:pPr>
        <w:spacing w:after="0" w:line="360" w:lineRule="auto"/>
        <w:ind w:left="720"/>
        <w:contextualSpacing/>
        <w:jc w:val="both"/>
        <w:rPr>
          <w:rFonts w:ascii="Times New Roman" w:eastAsia="Times New Roman" w:hAnsi="Times New Roman" w:cs="Times New Roman"/>
          <w:sz w:val="24"/>
          <w:szCs w:val="24"/>
        </w:rPr>
      </w:pPr>
    </w:p>
    <w:p w:rsidR="00070003" w:rsidRPr="002C3444" w:rsidRDefault="00070003" w:rsidP="00070003">
      <w:pPr>
        <w:numPr>
          <w:ilvl w:val="0"/>
          <w:numId w:val="2"/>
        </w:numPr>
        <w:tabs>
          <w:tab w:val="left" w:pos="709"/>
        </w:tabs>
        <w:spacing w:after="0" w:line="360" w:lineRule="auto"/>
        <w:ind w:hanging="720"/>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A settlement of property can be drafted in a number of ways, including:</w:t>
      </w:r>
    </w:p>
    <w:p w:rsidR="00070003" w:rsidRPr="002C3444" w:rsidRDefault="00070003" w:rsidP="00070003">
      <w:pPr>
        <w:numPr>
          <w:ilvl w:val="0"/>
          <w:numId w:val="15"/>
        </w:numPr>
        <w:spacing w:after="0" w:line="360" w:lineRule="auto"/>
        <w:ind w:hanging="666"/>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Respondent settling a lump sum of x on trustees for the benefit of the child to house the child and Applicant… (see annex to </w:t>
      </w:r>
      <w:r w:rsidRPr="002C3444">
        <w:rPr>
          <w:rFonts w:ascii="Times New Roman" w:eastAsia="Times New Roman" w:hAnsi="Times New Roman" w:cs="Times New Roman"/>
          <w:i/>
          <w:iCs/>
          <w:sz w:val="24"/>
          <w:szCs w:val="24"/>
        </w:rPr>
        <w:t>Re N (Payments for Benefit of Child)</w:t>
      </w:r>
      <w:r w:rsidRPr="002C3444">
        <w:rPr>
          <w:rFonts w:ascii="Times New Roman" w:eastAsia="Times New Roman" w:hAnsi="Times New Roman" w:cs="Times New Roman"/>
          <w:iCs/>
          <w:sz w:val="24"/>
          <w:szCs w:val="24"/>
        </w:rPr>
        <w:t xml:space="preserve"> [2009] 1 FLR 1142)</w:t>
      </w:r>
    </w:p>
    <w:p w:rsidR="00070003" w:rsidRPr="002C3444" w:rsidRDefault="00070003" w:rsidP="00070003">
      <w:pPr>
        <w:numPr>
          <w:ilvl w:val="0"/>
          <w:numId w:val="15"/>
        </w:numPr>
        <w:spacing w:after="0" w:line="360" w:lineRule="auto"/>
        <w:ind w:hanging="666"/>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iCs/>
          <w:sz w:val="24"/>
          <w:szCs w:val="24"/>
        </w:rPr>
        <w:t xml:space="preserve">Purchase in father’s name, with rental agreement in mother’s favour (paid for by F): </w:t>
      </w:r>
      <w:r w:rsidRPr="002C3444">
        <w:rPr>
          <w:rFonts w:ascii="Times New Roman" w:eastAsia="Times New Roman" w:hAnsi="Times New Roman" w:cs="Times New Roman"/>
          <w:i/>
          <w:sz w:val="24"/>
          <w:szCs w:val="24"/>
        </w:rPr>
        <w:t xml:space="preserve">MT v OT </w:t>
      </w:r>
      <w:r w:rsidRPr="002C3444">
        <w:rPr>
          <w:rFonts w:ascii="Times New Roman" w:eastAsia="Times New Roman" w:hAnsi="Times New Roman" w:cs="Times New Roman"/>
          <w:sz w:val="24"/>
          <w:szCs w:val="24"/>
        </w:rPr>
        <w:t>(above)</w:t>
      </w:r>
    </w:p>
    <w:p w:rsidR="00070003" w:rsidRPr="002C3444" w:rsidRDefault="00070003" w:rsidP="00070003">
      <w:pPr>
        <w:numPr>
          <w:ilvl w:val="0"/>
          <w:numId w:val="15"/>
        </w:numPr>
        <w:spacing w:after="0" w:line="360" w:lineRule="auto"/>
        <w:ind w:hanging="666"/>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In complicated cases, the court can direct a jointly instructed conveyancing counsel to draft the trust instrument</w:t>
      </w:r>
      <w:r w:rsidRPr="002C3444">
        <w:rPr>
          <w:rFonts w:ascii="Times New Roman" w:eastAsia="Times New Roman" w:hAnsi="Times New Roman" w:cs="Times New Roman"/>
          <w:sz w:val="24"/>
          <w:szCs w:val="24"/>
          <w:vertAlign w:val="superscript"/>
        </w:rPr>
        <w:footnoteReference w:id="25"/>
      </w:r>
      <w:r w:rsidRPr="002C3444">
        <w:rPr>
          <w:rFonts w:ascii="Times New Roman" w:eastAsia="Times New Roman" w:hAnsi="Times New Roman" w:cs="Times New Roman"/>
          <w:sz w:val="24"/>
          <w:szCs w:val="24"/>
        </w:rPr>
        <w:t>.</w:t>
      </w:r>
    </w:p>
    <w:p w:rsidR="00070003" w:rsidRPr="002C3444" w:rsidRDefault="00070003" w:rsidP="00070003">
      <w:pPr>
        <w:pStyle w:val="ListParagraph"/>
        <w:spacing w:after="0" w:line="360" w:lineRule="auto"/>
        <w:jc w:val="both"/>
        <w:rPr>
          <w:rFonts w:ascii="Times New Roman" w:eastAsia="Times New Roman" w:hAnsi="Times New Roman" w:cs="Times New Roman"/>
          <w:sz w:val="24"/>
          <w:szCs w:val="24"/>
        </w:rPr>
      </w:pPr>
    </w:p>
    <w:p w:rsidR="00070003" w:rsidRPr="002C3444" w:rsidRDefault="00070003" w:rsidP="00070003">
      <w:pPr>
        <w:pStyle w:val="ListParagraph"/>
        <w:numPr>
          <w:ilvl w:val="0"/>
          <w:numId w:val="2"/>
        </w:numPr>
        <w:tabs>
          <w:tab w:val="left" w:pos="0"/>
        </w:tabs>
        <w:spacing w:after="0" w:line="360" w:lineRule="auto"/>
        <w:ind w:left="709" w:hanging="709"/>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The terms of the trust need to be carefully considered to include but not limited to: </w:t>
      </w:r>
    </w:p>
    <w:p w:rsidR="00070003" w:rsidRPr="002C3444" w:rsidRDefault="00070003" w:rsidP="00070003">
      <w:pPr>
        <w:pStyle w:val="ListParagraph"/>
        <w:numPr>
          <w:ilvl w:val="0"/>
          <w:numId w:val="22"/>
        </w:numPr>
        <w:spacing w:after="0" w:line="360" w:lineRule="auto"/>
        <w:ind w:left="1843" w:hanging="763"/>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the choice and location of the property and how this choice is to be made (including whether the settlor has a veto); </w:t>
      </w:r>
    </w:p>
    <w:p w:rsidR="00070003" w:rsidRPr="002C3444" w:rsidRDefault="00070003" w:rsidP="00070003">
      <w:pPr>
        <w:pStyle w:val="ListParagraph"/>
        <w:numPr>
          <w:ilvl w:val="0"/>
          <w:numId w:val="22"/>
        </w:numPr>
        <w:spacing w:after="0" w:line="360" w:lineRule="auto"/>
        <w:ind w:left="1843" w:hanging="763"/>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a mechanism for a definition of the type of property to be purchased; </w:t>
      </w:r>
    </w:p>
    <w:p w:rsidR="00070003" w:rsidRPr="002C3444" w:rsidRDefault="00070003" w:rsidP="00070003">
      <w:pPr>
        <w:pStyle w:val="ListParagraph"/>
        <w:numPr>
          <w:ilvl w:val="0"/>
          <w:numId w:val="22"/>
        </w:numPr>
        <w:spacing w:after="0" w:line="360" w:lineRule="auto"/>
        <w:ind w:left="1843" w:hanging="763"/>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how purchase costs are to be dealt with; </w:t>
      </w:r>
    </w:p>
    <w:p w:rsidR="00070003" w:rsidRPr="002C3444" w:rsidRDefault="00070003" w:rsidP="00070003">
      <w:pPr>
        <w:pStyle w:val="ListParagraph"/>
        <w:numPr>
          <w:ilvl w:val="0"/>
          <w:numId w:val="22"/>
        </w:numPr>
        <w:spacing w:after="0" w:line="360" w:lineRule="auto"/>
        <w:ind w:left="1843" w:hanging="763"/>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who the trustees will be; </w:t>
      </w:r>
    </w:p>
    <w:p w:rsidR="00070003" w:rsidRPr="002C3444" w:rsidRDefault="00070003" w:rsidP="00070003">
      <w:pPr>
        <w:pStyle w:val="ListParagraph"/>
        <w:numPr>
          <w:ilvl w:val="0"/>
          <w:numId w:val="22"/>
        </w:numPr>
        <w:spacing w:after="0" w:line="360" w:lineRule="auto"/>
        <w:ind w:left="1843" w:hanging="763"/>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lastRenderedPageBreak/>
        <w:t xml:space="preserve">whether there is any provision for an alternative replacement property to be purchased; </w:t>
      </w:r>
    </w:p>
    <w:p w:rsidR="00070003" w:rsidRPr="002C3444" w:rsidRDefault="00070003" w:rsidP="00070003">
      <w:pPr>
        <w:pStyle w:val="ListParagraph"/>
        <w:numPr>
          <w:ilvl w:val="0"/>
          <w:numId w:val="22"/>
        </w:numPr>
        <w:spacing w:after="0" w:line="360" w:lineRule="auto"/>
        <w:ind w:left="1843" w:hanging="763"/>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the terms of the occupation; </w:t>
      </w:r>
    </w:p>
    <w:p w:rsidR="00070003" w:rsidRPr="002C3444" w:rsidRDefault="00070003" w:rsidP="00070003">
      <w:pPr>
        <w:pStyle w:val="ListParagraph"/>
        <w:numPr>
          <w:ilvl w:val="0"/>
          <w:numId w:val="22"/>
        </w:numPr>
        <w:spacing w:after="0" w:line="360" w:lineRule="auto"/>
        <w:ind w:left="1843" w:hanging="763"/>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provision for a change of circumstances e.g. does it trigger a sale if the Mother remarries or the child moves to live with the Father; </w:t>
      </w:r>
    </w:p>
    <w:p w:rsidR="00070003" w:rsidRPr="002C3444" w:rsidRDefault="00070003" w:rsidP="00070003">
      <w:pPr>
        <w:pStyle w:val="ListParagraph"/>
        <w:numPr>
          <w:ilvl w:val="0"/>
          <w:numId w:val="22"/>
        </w:numPr>
        <w:spacing w:after="0" w:line="360" w:lineRule="auto"/>
        <w:ind w:left="1843" w:hanging="763"/>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who will pay for external and internal repairs and decoration; </w:t>
      </w:r>
    </w:p>
    <w:p w:rsidR="00070003" w:rsidRPr="002C3444" w:rsidRDefault="00070003" w:rsidP="00070003">
      <w:pPr>
        <w:pStyle w:val="ListParagraph"/>
        <w:numPr>
          <w:ilvl w:val="0"/>
          <w:numId w:val="22"/>
        </w:numPr>
        <w:spacing w:after="0" w:line="360" w:lineRule="auto"/>
        <w:ind w:left="1843" w:hanging="763"/>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trustees charges; </w:t>
      </w:r>
    </w:p>
    <w:p w:rsidR="00070003" w:rsidRPr="002C3444" w:rsidRDefault="00070003" w:rsidP="00070003">
      <w:pPr>
        <w:pStyle w:val="ListParagraph"/>
        <w:numPr>
          <w:ilvl w:val="0"/>
          <w:numId w:val="22"/>
        </w:numPr>
        <w:spacing w:after="0" w:line="360" w:lineRule="auto"/>
        <w:ind w:left="1843" w:hanging="763"/>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who will pay any service charges and ground rent; </w:t>
      </w:r>
    </w:p>
    <w:p w:rsidR="00070003" w:rsidRPr="002C3444" w:rsidRDefault="00070003" w:rsidP="00070003">
      <w:pPr>
        <w:pStyle w:val="ListParagraph"/>
        <w:numPr>
          <w:ilvl w:val="0"/>
          <w:numId w:val="22"/>
        </w:numPr>
        <w:spacing w:after="0" w:line="360" w:lineRule="auto"/>
        <w:ind w:left="1843" w:hanging="763"/>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provisions with respect to any mortgage; </w:t>
      </w:r>
    </w:p>
    <w:p w:rsidR="00070003" w:rsidRPr="002C3444" w:rsidRDefault="00070003" w:rsidP="00070003">
      <w:pPr>
        <w:pStyle w:val="ListParagraph"/>
        <w:numPr>
          <w:ilvl w:val="0"/>
          <w:numId w:val="22"/>
        </w:numPr>
        <w:spacing w:after="0" w:line="360" w:lineRule="auto"/>
        <w:ind w:left="1843" w:hanging="763"/>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tax; </w:t>
      </w:r>
    </w:p>
    <w:p w:rsidR="00070003" w:rsidRPr="002C3444" w:rsidRDefault="00070003" w:rsidP="00070003">
      <w:pPr>
        <w:pStyle w:val="ListParagraph"/>
        <w:numPr>
          <w:ilvl w:val="0"/>
          <w:numId w:val="22"/>
        </w:numPr>
        <w:spacing w:after="0" w:line="360" w:lineRule="auto"/>
        <w:ind w:left="1843" w:hanging="763"/>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whether the mother should provide an account of expenditure; </w:t>
      </w:r>
    </w:p>
    <w:p w:rsidR="00070003" w:rsidRPr="002C3444" w:rsidRDefault="00070003" w:rsidP="00070003">
      <w:pPr>
        <w:pStyle w:val="ListParagraph"/>
        <w:numPr>
          <w:ilvl w:val="0"/>
          <w:numId w:val="22"/>
        </w:numPr>
        <w:spacing w:after="0" w:line="360" w:lineRule="auto"/>
        <w:ind w:left="1843" w:hanging="763"/>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any buy out clauses; and </w:t>
      </w:r>
    </w:p>
    <w:p w:rsidR="00070003" w:rsidRPr="002C3444" w:rsidRDefault="00070003" w:rsidP="00B30B3A">
      <w:pPr>
        <w:pStyle w:val="ListParagraph"/>
        <w:numPr>
          <w:ilvl w:val="0"/>
          <w:numId w:val="22"/>
        </w:numPr>
        <w:spacing w:after="0" w:line="360" w:lineRule="auto"/>
        <w:ind w:left="1843" w:hanging="763"/>
        <w:jc w:val="both"/>
        <w:rPr>
          <w:rFonts w:ascii="Times New Roman" w:eastAsia="Times New Roman" w:hAnsi="Times New Roman" w:cs="Times New Roman"/>
          <w:sz w:val="24"/>
          <w:szCs w:val="24"/>
        </w:rPr>
      </w:pPr>
      <w:proofErr w:type="gramStart"/>
      <w:r w:rsidRPr="002C3444">
        <w:rPr>
          <w:rFonts w:ascii="Times New Roman" w:eastAsia="Times New Roman" w:hAnsi="Times New Roman" w:cs="Times New Roman"/>
          <w:sz w:val="24"/>
          <w:szCs w:val="24"/>
        </w:rPr>
        <w:t>a</w:t>
      </w:r>
      <w:proofErr w:type="gramEnd"/>
      <w:r w:rsidRPr="002C3444">
        <w:rPr>
          <w:rFonts w:ascii="Times New Roman" w:eastAsia="Times New Roman" w:hAnsi="Times New Roman" w:cs="Times New Roman"/>
          <w:sz w:val="24"/>
          <w:szCs w:val="24"/>
        </w:rPr>
        <w:t xml:space="preserve"> mechanism for a change of trustees.</w:t>
      </w:r>
    </w:p>
    <w:p w:rsidR="00070003" w:rsidRPr="002C3444" w:rsidRDefault="00070003" w:rsidP="00B30B3A">
      <w:pPr>
        <w:pStyle w:val="ListParagraph"/>
        <w:spacing w:after="0" w:line="360" w:lineRule="auto"/>
        <w:jc w:val="both"/>
        <w:rPr>
          <w:rFonts w:ascii="Times New Roman" w:eastAsia="Times New Roman" w:hAnsi="Times New Roman" w:cs="Times New Roman"/>
          <w:sz w:val="24"/>
          <w:szCs w:val="24"/>
        </w:rPr>
      </w:pPr>
    </w:p>
    <w:p w:rsidR="00070003" w:rsidRPr="002C3444" w:rsidRDefault="00070003" w:rsidP="00361187">
      <w:pPr>
        <w:pStyle w:val="ListParagraph"/>
        <w:numPr>
          <w:ilvl w:val="0"/>
          <w:numId w:val="2"/>
        </w:numPr>
        <w:spacing w:after="0" w:line="360" w:lineRule="auto"/>
        <w:ind w:hanging="720"/>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It is important that great care is taken in how precisely the property is settled and the impact of tax on the settlor upon reversion. Tax advice should be sought at an early stage</w:t>
      </w:r>
      <w:r w:rsidR="00361187" w:rsidRPr="002C3444">
        <w:rPr>
          <w:rStyle w:val="FootnoteReference"/>
          <w:rFonts w:ascii="Times New Roman" w:eastAsia="Times New Roman" w:hAnsi="Times New Roman" w:cs="Times New Roman"/>
          <w:sz w:val="24"/>
          <w:szCs w:val="24"/>
        </w:rPr>
        <w:footnoteReference w:id="26"/>
      </w:r>
      <w:r w:rsidRPr="002C3444">
        <w:rPr>
          <w:rFonts w:ascii="Times New Roman" w:eastAsia="Times New Roman" w:hAnsi="Times New Roman" w:cs="Times New Roman"/>
          <w:sz w:val="24"/>
          <w:szCs w:val="24"/>
        </w:rPr>
        <w:t xml:space="preserve">. </w:t>
      </w:r>
    </w:p>
    <w:p w:rsidR="00070003" w:rsidRPr="002C3444" w:rsidRDefault="00070003" w:rsidP="00B30B3A">
      <w:pPr>
        <w:pStyle w:val="ListParagraph"/>
        <w:spacing w:line="360" w:lineRule="auto"/>
        <w:ind w:hanging="720"/>
        <w:jc w:val="both"/>
        <w:rPr>
          <w:rFonts w:ascii="Times New Roman" w:eastAsia="Times New Roman" w:hAnsi="Times New Roman" w:cs="Times New Roman"/>
          <w:sz w:val="24"/>
          <w:szCs w:val="24"/>
        </w:rPr>
      </w:pPr>
    </w:p>
    <w:p w:rsidR="00070003" w:rsidRPr="002C3444" w:rsidRDefault="00070003" w:rsidP="00B30B3A">
      <w:pPr>
        <w:pStyle w:val="ListParagraph"/>
        <w:numPr>
          <w:ilvl w:val="0"/>
          <w:numId w:val="2"/>
        </w:numPr>
        <w:spacing w:after="0" w:line="360" w:lineRule="auto"/>
        <w:ind w:hanging="720"/>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Capital gains tax must also be considered. This may arise when the trust is set up where a UK resident transfers property into the trust and it is already owned by the settlor, is not his main residence and there is already a significant gain on the property. Upon the reversion of a property to the settlor, either during a child’s lifetime or upon his death, there will be a disposal of the whole fund. However, it will be possible to take advantage of the “main residence relief” exemption provided by s223 of the </w:t>
      </w:r>
      <w:r w:rsidRPr="002C3444">
        <w:rPr>
          <w:rFonts w:ascii="Times New Roman" w:eastAsia="Times New Roman" w:hAnsi="Times New Roman" w:cs="Times New Roman"/>
          <w:sz w:val="24"/>
          <w:szCs w:val="24"/>
          <w:u w:val="single"/>
        </w:rPr>
        <w:t>Taxation of Chargeable Gains Act 1992</w:t>
      </w:r>
      <w:r w:rsidRPr="002C3444">
        <w:rPr>
          <w:rFonts w:ascii="Times New Roman" w:eastAsia="Times New Roman" w:hAnsi="Times New Roman" w:cs="Times New Roman"/>
          <w:sz w:val="24"/>
          <w:szCs w:val="24"/>
        </w:rPr>
        <w:t xml:space="preserve"> which is extended by s225 to property occupied by a beneficiary under the terms of the settlement. This means that in many Schedule 1 cases the incidence of CGT to the settlor can be avoided. </w:t>
      </w:r>
    </w:p>
    <w:p w:rsidR="00070003" w:rsidRPr="002C3444" w:rsidRDefault="00070003" w:rsidP="00B30B3A">
      <w:pPr>
        <w:pStyle w:val="ListParagraph"/>
        <w:spacing w:line="360" w:lineRule="auto"/>
        <w:jc w:val="both"/>
        <w:rPr>
          <w:rFonts w:ascii="Times New Roman" w:eastAsia="Times New Roman" w:hAnsi="Times New Roman" w:cs="Times New Roman"/>
          <w:sz w:val="24"/>
          <w:szCs w:val="24"/>
        </w:rPr>
      </w:pPr>
    </w:p>
    <w:p w:rsidR="00070003" w:rsidRPr="002C3444" w:rsidRDefault="00070003" w:rsidP="00B30B3A">
      <w:pPr>
        <w:pStyle w:val="ListParagraph"/>
        <w:numPr>
          <w:ilvl w:val="0"/>
          <w:numId w:val="2"/>
        </w:numPr>
        <w:spacing w:after="0" w:line="360" w:lineRule="auto"/>
        <w:ind w:hanging="720"/>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lastRenderedPageBreak/>
        <w:t>Alternative legal structures can be considered, such as leases or licences being provided to the occupying parent. However for a UK settlor this may lead to CGT arising. For a non-UK resident who is not liable for CGT, this option may be attractive. Other possibilities are ownership by a limited company, an offshore trust or company</w:t>
      </w:r>
      <w:proofErr w:type="gramStart"/>
      <w:r w:rsidRPr="002C3444">
        <w:rPr>
          <w:rFonts w:ascii="Times New Roman" w:eastAsia="Times New Roman" w:hAnsi="Times New Roman" w:cs="Times New Roman"/>
          <w:sz w:val="24"/>
          <w:szCs w:val="24"/>
        </w:rPr>
        <w:t>,  a</w:t>
      </w:r>
      <w:proofErr w:type="gramEnd"/>
      <w:r w:rsidRPr="002C3444">
        <w:rPr>
          <w:rFonts w:ascii="Times New Roman" w:eastAsia="Times New Roman" w:hAnsi="Times New Roman" w:cs="Times New Roman"/>
          <w:sz w:val="24"/>
          <w:szCs w:val="24"/>
        </w:rPr>
        <w:t xml:space="preserve"> family investment company or family foundation.</w:t>
      </w:r>
    </w:p>
    <w:p w:rsidR="00070003" w:rsidRPr="002C3444" w:rsidRDefault="00070003" w:rsidP="00070003">
      <w:pPr>
        <w:pStyle w:val="ListParagraph"/>
        <w:spacing w:after="0" w:line="360" w:lineRule="auto"/>
        <w:jc w:val="both"/>
        <w:rPr>
          <w:rFonts w:ascii="Times New Roman" w:eastAsia="Times New Roman" w:hAnsi="Times New Roman" w:cs="Times New Roman"/>
          <w:sz w:val="24"/>
          <w:szCs w:val="24"/>
        </w:rPr>
      </w:pPr>
    </w:p>
    <w:p w:rsidR="00070003" w:rsidRPr="002C3444" w:rsidRDefault="00070003" w:rsidP="00070003">
      <w:pPr>
        <w:spacing w:line="360" w:lineRule="auto"/>
        <w:contextualSpacing/>
        <w:jc w:val="both"/>
        <w:rPr>
          <w:rFonts w:ascii="Times New Roman" w:hAnsi="Times New Roman" w:cs="Times New Roman"/>
          <w:sz w:val="24"/>
          <w:szCs w:val="24"/>
        </w:rPr>
      </w:pPr>
    </w:p>
    <w:p w:rsidR="00070003" w:rsidRPr="002C3444" w:rsidRDefault="00070003" w:rsidP="00070003">
      <w:pPr>
        <w:spacing w:after="0" w:line="360" w:lineRule="auto"/>
        <w:contextualSpacing/>
        <w:jc w:val="both"/>
        <w:rPr>
          <w:rFonts w:ascii="Times New Roman" w:hAnsi="Times New Roman" w:cs="Times New Roman"/>
          <w:b/>
          <w:sz w:val="24"/>
          <w:szCs w:val="24"/>
        </w:rPr>
      </w:pPr>
      <w:r w:rsidRPr="002C3444">
        <w:rPr>
          <w:rFonts w:ascii="Times New Roman" w:eastAsia="Times New Roman" w:hAnsi="Times New Roman" w:cs="Times New Roman"/>
          <w:b/>
          <w:sz w:val="24"/>
          <w:szCs w:val="24"/>
        </w:rPr>
        <w:t>LUMP SUM ORDERS</w:t>
      </w:r>
    </w:p>
    <w:p w:rsidR="00070003" w:rsidRPr="002C3444" w:rsidRDefault="00070003" w:rsidP="00B30B3A">
      <w:pPr>
        <w:numPr>
          <w:ilvl w:val="0"/>
          <w:numId w:val="2"/>
        </w:numPr>
        <w:spacing w:line="360" w:lineRule="auto"/>
        <w:ind w:hanging="720"/>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The powers to award lump sums is prescribed by statute, i.e. more than one application is possible (cf. one settlement of property order) and it:</w:t>
      </w:r>
    </w:p>
    <w:p w:rsidR="00070003" w:rsidRPr="002C3444" w:rsidRDefault="00070003" w:rsidP="00070003">
      <w:pPr>
        <w:spacing w:after="0"/>
        <w:ind w:left="1440" w:right="566"/>
        <w:jc w:val="both"/>
        <w:rPr>
          <w:rFonts w:ascii="Times New Roman" w:eastAsia="Times New Roman" w:hAnsi="Times New Roman" w:cs="Times New Roman"/>
          <w:sz w:val="21"/>
          <w:szCs w:val="21"/>
          <w:lang w:val="en"/>
        </w:rPr>
      </w:pPr>
      <w:r w:rsidRPr="002C3444">
        <w:rPr>
          <w:rFonts w:ascii="Times New Roman" w:eastAsia="Times New Roman" w:hAnsi="Times New Roman" w:cs="Times New Roman"/>
          <w:sz w:val="21"/>
          <w:szCs w:val="21"/>
          <w:lang w:val="en"/>
        </w:rPr>
        <w:t>“… may be made for the purpose of enabling any liabilities or expenses –</w:t>
      </w:r>
    </w:p>
    <w:p w:rsidR="00070003" w:rsidRPr="002C3444" w:rsidRDefault="00070003" w:rsidP="00070003">
      <w:pPr>
        <w:spacing w:after="0"/>
        <w:ind w:left="1440" w:right="566"/>
        <w:jc w:val="both"/>
        <w:rPr>
          <w:rFonts w:ascii="Times New Roman" w:eastAsia="Times New Roman" w:hAnsi="Times New Roman" w:cs="Times New Roman"/>
          <w:sz w:val="21"/>
          <w:szCs w:val="21"/>
          <w:lang w:val="en"/>
        </w:rPr>
      </w:pPr>
      <w:r w:rsidRPr="002C3444">
        <w:rPr>
          <w:rFonts w:ascii="Times New Roman" w:eastAsia="Times New Roman" w:hAnsi="Times New Roman" w:cs="Times New Roman"/>
          <w:sz w:val="21"/>
          <w:szCs w:val="21"/>
          <w:lang w:val="en"/>
        </w:rPr>
        <w:t>(</w:t>
      </w:r>
      <w:r w:rsidRPr="002C3444">
        <w:rPr>
          <w:rFonts w:ascii="Times New Roman" w:eastAsia="Times New Roman" w:hAnsi="Times New Roman" w:cs="Times New Roman"/>
          <w:i/>
          <w:iCs/>
          <w:sz w:val="21"/>
          <w:szCs w:val="21"/>
          <w:lang w:val="en"/>
        </w:rPr>
        <w:t>a</w:t>
      </w:r>
      <w:r w:rsidRPr="002C3444">
        <w:rPr>
          <w:rFonts w:ascii="Times New Roman" w:eastAsia="Times New Roman" w:hAnsi="Times New Roman" w:cs="Times New Roman"/>
          <w:sz w:val="21"/>
          <w:szCs w:val="21"/>
          <w:lang w:val="en"/>
        </w:rPr>
        <w:t xml:space="preserve">) </w:t>
      </w:r>
      <w:proofErr w:type="gramStart"/>
      <w:r w:rsidRPr="002C3444">
        <w:rPr>
          <w:rFonts w:ascii="Times New Roman" w:eastAsia="Times New Roman" w:hAnsi="Times New Roman" w:cs="Times New Roman"/>
          <w:sz w:val="21"/>
          <w:szCs w:val="21"/>
          <w:lang w:val="en"/>
        </w:rPr>
        <w:t>incurred</w:t>
      </w:r>
      <w:proofErr w:type="gramEnd"/>
      <w:r w:rsidRPr="002C3444">
        <w:rPr>
          <w:rFonts w:ascii="Times New Roman" w:eastAsia="Times New Roman" w:hAnsi="Times New Roman" w:cs="Times New Roman"/>
          <w:sz w:val="21"/>
          <w:szCs w:val="21"/>
          <w:lang w:val="en"/>
        </w:rPr>
        <w:t xml:space="preserve"> in connection with the birth of the child or in maintaining the child; and </w:t>
      </w:r>
    </w:p>
    <w:p w:rsidR="00070003" w:rsidRPr="002C3444" w:rsidRDefault="00070003" w:rsidP="00070003">
      <w:pPr>
        <w:spacing w:after="0"/>
        <w:ind w:left="1440" w:right="566"/>
        <w:jc w:val="both"/>
        <w:rPr>
          <w:rFonts w:ascii="Times New Roman" w:eastAsia="Times New Roman" w:hAnsi="Times New Roman" w:cs="Times New Roman"/>
          <w:sz w:val="21"/>
          <w:szCs w:val="21"/>
          <w:lang w:val="en"/>
        </w:rPr>
      </w:pPr>
      <w:r w:rsidRPr="002C3444">
        <w:rPr>
          <w:rFonts w:ascii="Times New Roman" w:eastAsia="Times New Roman" w:hAnsi="Times New Roman" w:cs="Times New Roman"/>
          <w:sz w:val="21"/>
          <w:szCs w:val="21"/>
          <w:lang w:val="en"/>
        </w:rPr>
        <w:t>(</w:t>
      </w:r>
      <w:r w:rsidRPr="002C3444">
        <w:rPr>
          <w:rFonts w:ascii="Times New Roman" w:eastAsia="Times New Roman" w:hAnsi="Times New Roman" w:cs="Times New Roman"/>
          <w:i/>
          <w:iCs/>
          <w:sz w:val="21"/>
          <w:szCs w:val="21"/>
          <w:lang w:val="en"/>
        </w:rPr>
        <w:t>b</w:t>
      </w:r>
      <w:r w:rsidRPr="002C3444">
        <w:rPr>
          <w:rFonts w:ascii="Times New Roman" w:eastAsia="Times New Roman" w:hAnsi="Times New Roman" w:cs="Times New Roman"/>
          <w:sz w:val="21"/>
          <w:szCs w:val="21"/>
          <w:lang w:val="en"/>
        </w:rPr>
        <w:t xml:space="preserve">) </w:t>
      </w:r>
      <w:proofErr w:type="gramStart"/>
      <w:r w:rsidRPr="002C3444">
        <w:rPr>
          <w:rFonts w:ascii="Times New Roman" w:eastAsia="Times New Roman" w:hAnsi="Times New Roman" w:cs="Times New Roman"/>
          <w:sz w:val="21"/>
          <w:szCs w:val="21"/>
          <w:lang w:val="en"/>
        </w:rPr>
        <w:t>reasonably</w:t>
      </w:r>
      <w:proofErr w:type="gramEnd"/>
      <w:r w:rsidRPr="002C3444">
        <w:rPr>
          <w:rFonts w:ascii="Times New Roman" w:eastAsia="Times New Roman" w:hAnsi="Times New Roman" w:cs="Times New Roman"/>
          <w:sz w:val="21"/>
          <w:szCs w:val="21"/>
          <w:lang w:val="en"/>
        </w:rPr>
        <w:t xml:space="preserve"> incurred before the making of the order, to be met.”</w:t>
      </w:r>
      <w:r w:rsidRPr="002C3444">
        <w:rPr>
          <w:rFonts w:ascii="Times New Roman" w:eastAsia="Times New Roman" w:hAnsi="Times New Roman" w:cs="Times New Roman"/>
          <w:sz w:val="21"/>
          <w:szCs w:val="21"/>
          <w:vertAlign w:val="superscript"/>
          <w:lang w:val="en"/>
        </w:rPr>
        <w:footnoteReference w:id="27"/>
      </w:r>
    </w:p>
    <w:p w:rsidR="00070003" w:rsidRPr="002C3444" w:rsidRDefault="00070003" w:rsidP="00070003">
      <w:pPr>
        <w:spacing w:line="360" w:lineRule="auto"/>
        <w:ind w:left="720"/>
        <w:contextualSpacing/>
        <w:jc w:val="both"/>
        <w:rPr>
          <w:rFonts w:ascii="Times New Roman" w:eastAsia="Times New Roman" w:hAnsi="Times New Roman" w:cs="Times New Roman"/>
          <w:sz w:val="24"/>
          <w:szCs w:val="24"/>
        </w:rPr>
      </w:pPr>
    </w:p>
    <w:p w:rsidR="00070003" w:rsidRPr="002C3444" w:rsidRDefault="00070003" w:rsidP="00B30B3A">
      <w:pPr>
        <w:numPr>
          <w:ilvl w:val="0"/>
          <w:numId w:val="2"/>
        </w:numPr>
        <w:spacing w:line="360" w:lineRule="auto"/>
        <w:ind w:hanging="720"/>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A conventional Sch. 1 lump sum order is directed to specific expenses such as furnishing and equipping a house, hospital costs, nursing etc. </w:t>
      </w:r>
      <w:r w:rsidRPr="002C3444">
        <w:rPr>
          <w:rFonts w:ascii="Times New Roman" w:eastAsia="Times New Roman" w:hAnsi="Times New Roman" w:cs="Times New Roman"/>
          <w:i/>
          <w:sz w:val="24"/>
          <w:szCs w:val="24"/>
        </w:rPr>
        <w:t>Philips v Peace</w:t>
      </w:r>
      <w:r w:rsidRPr="002C3444">
        <w:rPr>
          <w:rFonts w:ascii="Times New Roman" w:eastAsia="Times New Roman" w:hAnsi="Times New Roman" w:cs="Times New Roman"/>
          <w:sz w:val="24"/>
          <w:szCs w:val="24"/>
        </w:rPr>
        <w:t xml:space="preserve"> [1996] 2 FLR 230.  </w:t>
      </w:r>
    </w:p>
    <w:p w:rsidR="00070003" w:rsidRPr="002C3444" w:rsidRDefault="00070003" w:rsidP="00070003">
      <w:pPr>
        <w:spacing w:line="360" w:lineRule="auto"/>
        <w:ind w:left="720"/>
        <w:contextualSpacing/>
        <w:jc w:val="both"/>
        <w:rPr>
          <w:rFonts w:ascii="Times New Roman" w:eastAsia="Times New Roman" w:hAnsi="Times New Roman" w:cs="Times New Roman"/>
          <w:sz w:val="24"/>
          <w:szCs w:val="24"/>
        </w:rPr>
      </w:pPr>
    </w:p>
    <w:p w:rsidR="00070003" w:rsidRPr="002C3444" w:rsidRDefault="00070003" w:rsidP="00070003">
      <w:pPr>
        <w:numPr>
          <w:ilvl w:val="0"/>
          <w:numId w:val="2"/>
        </w:numPr>
        <w:spacing w:line="360" w:lineRule="auto"/>
        <w:ind w:hanging="720"/>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The courts have interpreted this powers broadly:</w:t>
      </w:r>
    </w:p>
    <w:p w:rsidR="00070003" w:rsidRPr="002C3444" w:rsidRDefault="00070003" w:rsidP="00070003">
      <w:pPr>
        <w:numPr>
          <w:ilvl w:val="0"/>
          <w:numId w:val="16"/>
        </w:numPr>
        <w:spacing w:line="360" w:lineRule="auto"/>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£50,000 to clear a mother’s debts arising in part from having moved house (reduced on appeal from £100,000): </w:t>
      </w:r>
      <w:r w:rsidRPr="002C3444">
        <w:rPr>
          <w:rFonts w:ascii="Times New Roman" w:eastAsia="Times New Roman" w:hAnsi="Times New Roman" w:cs="Times New Roman"/>
          <w:i/>
          <w:sz w:val="24"/>
          <w:szCs w:val="24"/>
        </w:rPr>
        <w:t xml:space="preserve">Morgan v Hill </w:t>
      </w:r>
      <w:r w:rsidRPr="002C3444">
        <w:rPr>
          <w:rFonts w:ascii="Times New Roman" w:eastAsia="Times New Roman" w:hAnsi="Times New Roman" w:cs="Times New Roman"/>
          <w:sz w:val="24"/>
          <w:szCs w:val="24"/>
        </w:rPr>
        <w:t>[2006] [2007] 1 FLR 1480;</w:t>
      </w:r>
    </w:p>
    <w:p w:rsidR="00070003" w:rsidRPr="002C3444" w:rsidRDefault="00070003" w:rsidP="00070003">
      <w:pPr>
        <w:numPr>
          <w:ilvl w:val="0"/>
          <w:numId w:val="16"/>
        </w:numPr>
        <w:spacing w:line="360" w:lineRule="auto"/>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£20,000 to cover moving costs: </w:t>
      </w:r>
      <w:r w:rsidRPr="002C3444">
        <w:rPr>
          <w:rFonts w:ascii="Times New Roman" w:eastAsia="Times New Roman" w:hAnsi="Times New Roman" w:cs="Times New Roman"/>
          <w:i/>
          <w:sz w:val="24"/>
          <w:szCs w:val="24"/>
        </w:rPr>
        <w:t>Re N (Payments for Benefit of Child)</w:t>
      </w:r>
      <w:r w:rsidRPr="002C3444">
        <w:rPr>
          <w:rFonts w:ascii="Times New Roman" w:eastAsia="Times New Roman" w:hAnsi="Times New Roman" w:cs="Times New Roman"/>
          <w:sz w:val="24"/>
          <w:szCs w:val="24"/>
        </w:rPr>
        <w:t xml:space="preserve"> [2009] 1 FLR 1442</w:t>
      </w:r>
    </w:p>
    <w:p w:rsidR="00070003" w:rsidRPr="002C3444" w:rsidRDefault="00070003" w:rsidP="00070003">
      <w:pPr>
        <w:numPr>
          <w:ilvl w:val="0"/>
          <w:numId w:val="16"/>
        </w:numPr>
        <w:spacing w:line="360" w:lineRule="auto"/>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£25,000 for a family car: </w:t>
      </w:r>
      <w:r w:rsidRPr="002C3444">
        <w:rPr>
          <w:rFonts w:ascii="Times New Roman" w:eastAsia="Times New Roman" w:hAnsi="Times New Roman" w:cs="Times New Roman"/>
          <w:i/>
          <w:sz w:val="24"/>
          <w:szCs w:val="24"/>
        </w:rPr>
        <w:t xml:space="preserve">H v C </w:t>
      </w:r>
      <w:r w:rsidRPr="002C3444">
        <w:rPr>
          <w:rFonts w:ascii="Times New Roman" w:eastAsia="Times New Roman" w:hAnsi="Times New Roman" w:cs="Times New Roman"/>
          <w:sz w:val="24"/>
          <w:szCs w:val="24"/>
        </w:rPr>
        <w:t xml:space="preserve">[2009] 2 FLR 1540 at [88]; the same sum but with a rolling trade/renewal every 3 years requiring £87,500 to age 21; </w:t>
      </w:r>
      <w:r w:rsidRPr="002C3444">
        <w:rPr>
          <w:rFonts w:ascii="Times New Roman" w:eastAsia="Times New Roman" w:hAnsi="Times New Roman" w:cs="Times New Roman"/>
          <w:i/>
          <w:sz w:val="24"/>
          <w:szCs w:val="24"/>
        </w:rPr>
        <w:t xml:space="preserve">PG v TW (No 2) (Child: Financial Provision) </w:t>
      </w:r>
      <w:r w:rsidRPr="002C3444">
        <w:rPr>
          <w:rFonts w:ascii="Times New Roman" w:eastAsia="Times New Roman" w:hAnsi="Times New Roman" w:cs="Times New Roman"/>
          <w:sz w:val="24"/>
          <w:szCs w:val="24"/>
        </w:rPr>
        <w:t>[2012]</w:t>
      </w:r>
    </w:p>
    <w:p w:rsidR="00070003" w:rsidRPr="002C3444" w:rsidRDefault="00070003" w:rsidP="00070003">
      <w:pPr>
        <w:numPr>
          <w:ilvl w:val="0"/>
          <w:numId w:val="16"/>
        </w:numPr>
        <w:spacing w:line="360" w:lineRule="auto"/>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lastRenderedPageBreak/>
        <w:t xml:space="preserve">Reimbursing an applicant for the mortgage payments incurred in providing the child with a home: </w:t>
      </w:r>
      <w:r w:rsidRPr="002C3444">
        <w:rPr>
          <w:rFonts w:ascii="Times New Roman" w:hAnsi="Times New Roman" w:cs="Times New Roman"/>
          <w:i/>
          <w:sz w:val="24"/>
          <w:szCs w:val="24"/>
        </w:rPr>
        <w:t xml:space="preserve">DE v AB </w:t>
      </w:r>
      <w:r w:rsidRPr="002C3444">
        <w:rPr>
          <w:rFonts w:ascii="Times New Roman" w:hAnsi="Times New Roman" w:cs="Times New Roman"/>
          <w:sz w:val="24"/>
          <w:szCs w:val="24"/>
        </w:rPr>
        <w:t>(see above)</w:t>
      </w:r>
      <w:r w:rsidRPr="002C3444">
        <w:rPr>
          <w:rFonts w:ascii="Times New Roman" w:eastAsia="Times New Roman" w:hAnsi="Times New Roman" w:cs="Times New Roman"/>
          <w:sz w:val="24"/>
          <w:szCs w:val="24"/>
        </w:rPr>
        <w:t xml:space="preserve">; </w:t>
      </w:r>
    </w:p>
    <w:p w:rsidR="00070003" w:rsidRPr="002C3444" w:rsidRDefault="00070003" w:rsidP="00070003">
      <w:pPr>
        <w:numPr>
          <w:ilvl w:val="0"/>
          <w:numId w:val="16"/>
        </w:numPr>
        <w:spacing w:line="360" w:lineRule="auto"/>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Order to pay £113,000 reimbursing mother for costs incurred in private law proceedings and £25,000 to cover future costs: </w:t>
      </w:r>
      <w:r w:rsidRPr="002C3444">
        <w:rPr>
          <w:rFonts w:ascii="Times New Roman" w:eastAsia="Times New Roman" w:hAnsi="Times New Roman" w:cs="Times New Roman"/>
          <w:i/>
          <w:sz w:val="24"/>
          <w:szCs w:val="24"/>
        </w:rPr>
        <w:t xml:space="preserve">R v F (Schedule One; Child Maintenance: Mother’s Costs of Contact Proceedings) </w:t>
      </w:r>
      <w:r w:rsidRPr="002C3444">
        <w:rPr>
          <w:rFonts w:ascii="Times New Roman" w:eastAsia="Times New Roman" w:hAnsi="Times New Roman" w:cs="Times New Roman"/>
          <w:sz w:val="24"/>
          <w:szCs w:val="24"/>
        </w:rPr>
        <w:t>[2011] 2 FLR 991</w:t>
      </w:r>
    </w:p>
    <w:p w:rsidR="00070003" w:rsidRPr="002C3444" w:rsidRDefault="00070003" w:rsidP="00070003">
      <w:pPr>
        <w:numPr>
          <w:ilvl w:val="0"/>
          <w:numId w:val="16"/>
        </w:numPr>
        <w:spacing w:line="360" w:lineRule="auto"/>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In a similarly large money case, £100,000 for internal decoration of a property in a case which involved a multi-millionaire father: </w:t>
      </w:r>
      <w:r w:rsidRPr="002C3444">
        <w:rPr>
          <w:rFonts w:ascii="Times New Roman" w:eastAsia="Times New Roman" w:hAnsi="Times New Roman" w:cs="Times New Roman"/>
          <w:i/>
          <w:sz w:val="24"/>
          <w:szCs w:val="24"/>
        </w:rPr>
        <w:t xml:space="preserve">Re P </w:t>
      </w:r>
      <w:r w:rsidRPr="002C3444">
        <w:rPr>
          <w:rFonts w:ascii="Times New Roman" w:eastAsia="Times New Roman" w:hAnsi="Times New Roman" w:cs="Times New Roman"/>
          <w:sz w:val="24"/>
          <w:szCs w:val="24"/>
        </w:rPr>
        <w:t>(above)</w:t>
      </w:r>
    </w:p>
    <w:p w:rsidR="00070003" w:rsidRPr="002C3444" w:rsidRDefault="00070003" w:rsidP="00070003">
      <w:pPr>
        <w:numPr>
          <w:ilvl w:val="0"/>
          <w:numId w:val="16"/>
        </w:numPr>
        <w:spacing w:line="360" w:lineRule="auto"/>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£70,000 of outstanding legal costs from previous litigation in another jurisdiction with respect to child financial provision; </w:t>
      </w:r>
      <w:r w:rsidRPr="002C3444">
        <w:rPr>
          <w:rFonts w:ascii="Times New Roman" w:eastAsia="Times New Roman" w:hAnsi="Times New Roman" w:cs="Times New Roman"/>
          <w:i/>
          <w:sz w:val="24"/>
          <w:szCs w:val="24"/>
        </w:rPr>
        <w:t>PG v TW (No. 2) (Child: Financial Provision)</w:t>
      </w:r>
      <w:r w:rsidRPr="002C3444">
        <w:rPr>
          <w:rFonts w:ascii="Times New Roman" w:eastAsia="Times New Roman" w:hAnsi="Times New Roman" w:cs="Times New Roman"/>
          <w:sz w:val="24"/>
          <w:szCs w:val="24"/>
        </w:rPr>
        <w:t xml:space="preserve"> [2012]</w:t>
      </w:r>
    </w:p>
    <w:p w:rsidR="00070003" w:rsidRPr="002C3444" w:rsidRDefault="00070003" w:rsidP="00070003">
      <w:pPr>
        <w:numPr>
          <w:ilvl w:val="0"/>
          <w:numId w:val="16"/>
        </w:numPr>
        <w:spacing w:line="360" w:lineRule="auto"/>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Exceptionally, an interim order to meet legal costs where the court has no power to award periodical payments: </w:t>
      </w:r>
      <w:r w:rsidRPr="002C3444">
        <w:rPr>
          <w:rFonts w:ascii="Times New Roman" w:eastAsia="Times New Roman" w:hAnsi="Times New Roman" w:cs="Times New Roman"/>
          <w:i/>
          <w:sz w:val="24"/>
          <w:szCs w:val="24"/>
        </w:rPr>
        <w:t xml:space="preserve">CF v KM </w:t>
      </w:r>
      <w:r w:rsidRPr="002C3444">
        <w:rPr>
          <w:rFonts w:ascii="Times New Roman" w:eastAsia="Times New Roman" w:hAnsi="Times New Roman" w:cs="Times New Roman"/>
          <w:sz w:val="24"/>
          <w:szCs w:val="24"/>
        </w:rPr>
        <w:t>(see above)</w:t>
      </w:r>
    </w:p>
    <w:p w:rsidR="00070003" w:rsidRPr="002C3444" w:rsidRDefault="00070003" w:rsidP="00070003">
      <w:pPr>
        <w:spacing w:line="360" w:lineRule="auto"/>
        <w:ind w:left="1800"/>
        <w:contextualSpacing/>
        <w:jc w:val="both"/>
        <w:rPr>
          <w:rFonts w:ascii="Times New Roman" w:eastAsia="Times New Roman" w:hAnsi="Times New Roman" w:cs="Times New Roman"/>
          <w:sz w:val="24"/>
          <w:szCs w:val="24"/>
        </w:rPr>
      </w:pPr>
    </w:p>
    <w:p w:rsidR="00070003" w:rsidRPr="002C3444" w:rsidRDefault="00070003" w:rsidP="00070003">
      <w:pPr>
        <w:numPr>
          <w:ilvl w:val="0"/>
          <w:numId w:val="2"/>
        </w:numPr>
        <w:spacing w:line="360" w:lineRule="auto"/>
        <w:ind w:hanging="720"/>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Contrast </w:t>
      </w:r>
      <w:r w:rsidRPr="002C3444">
        <w:rPr>
          <w:rFonts w:ascii="Times New Roman" w:eastAsia="Times New Roman" w:hAnsi="Times New Roman" w:cs="Times New Roman"/>
          <w:i/>
          <w:sz w:val="24"/>
          <w:szCs w:val="24"/>
        </w:rPr>
        <w:t xml:space="preserve">MT v OT (Financial Provision: Costs) </w:t>
      </w:r>
      <w:r w:rsidRPr="002C3444">
        <w:rPr>
          <w:rFonts w:ascii="Times New Roman" w:eastAsia="Times New Roman" w:hAnsi="Times New Roman" w:cs="Times New Roman"/>
          <w:sz w:val="24"/>
          <w:szCs w:val="24"/>
        </w:rPr>
        <w:t xml:space="preserve">(above) where the court found W’s debts of £281,000 arose due to her profligacy and aspirational lifestyle – refusing to award a lump sum to repay some of this debt. </w:t>
      </w:r>
    </w:p>
    <w:p w:rsidR="00070003" w:rsidRPr="002C3444" w:rsidRDefault="00070003" w:rsidP="00070003">
      <w:pPr>
        <w:spacing w:line="360" w:lineRule="auto"/>
        <w:ind w:left="720" w:hanging="720"/>
        <w:contextualSpacing/>
        <w:jc w:val="both"/>
        <w:rPr>
          <w:rFonts w:ascii="Times New Roman" w:eastAsia="Times New Roman" w:hAnsi="Times New Roman" w:cs="Times New Roman"/>
          <w:sz w:val="24"/>
          <w:szCs w:val="24"/>
        </w:rPr>
      </w:pPr>
    </w:p>
    <w:p w:rsidR="00070003" w:rsidRPr="002C3444" w:rsidRDefault="00070003" w:rsidP="00361187">
      <w:pPr>
        <w:numPr>
          <w:ilvl w:val="0"/>
          <w:numId w:val="2"/>
        </w:numPr>
        <w:spacing w:line="360" w:lineRule="auto"/>
        <w:ind w:hanging="720"/>
        <w:contextualSpacing/>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Lump sums can be ordered to be paid by instalments. The court retains the power to vary the instalments by varying the number of instalments, the amount of any instalment to be paid and the date on which it is payable</w:t>
      </w:r>
      <w:r w:rsidRPr="002C3444">
        <w:rPr>
          <w:rStyle w:val="FootnoteReference"/>
          <w:rFonts w:ascii="Times New Roman" w:eastAsia="Times New Roman" w:hAnsi="Times New Roman" w:cs="Times New Roman"/>
          <w:sz w:val="24"/>
          <w:szCs w:val="24"/>
        </w:rPr>
        <w:footnoteReference w:id="28"/>
      </w:r>
      <w:r w:rsidRPr="002C3444">
        <w:rPr>
          <w:rFonts w:ascii="Times New Roman" w:eastAsia="Times New Roman" w:hAnsi="Times New Roman" w:cs="Times New Roman"/>
          <w:sz w:val="24"/>
          <w:szCs w:val="24"/>
        </w:rPr>
        <w:t>.</w:t>
      </w:r>
      <w:r w:rsidR="00361187" w:rsidRPr="002C3444">
        <w:rPr>
          <w:rFonts w:ascii="Times New Roman" w:eastAsia="Times New Roman" w:hAnsi="Times New Roman" w:cs="Times New Roman"/>
          <w:sz w:val="24"/>
          <w:szCs w:val="24"/>
        </w:rPr>
        <w:t xml:space="preserve"> </w:t>
      </w:r>
      <w:r w:rsidRPr="002C3444">
        <w:rPr>
          <w:rFonts w:ascii="Times New Roman" w:eastAsia="Times New Roman" w:hAnsi="Times New Roman" w:cs="Times New Roman"/>
          <w:sz w:val="24"/>
          <w:szCs w:val="24"/>
        </w:rPr>
        <w:t>Magistrates Courts can only order a lump sum of £1,000</w:t>
      </w:r>
      <w:r w:rsidRPr="002C3444">
        <w:rPr>
          <w:rStyle w:val="FootnoteReference"/>
          <w:rFonts w:ascii="Times New Roman" w:eastAsia="Times New Roman" w:hAnsi="Times New Roman" w:cs="Times New Roman"/>
          <w:sz w:val="24"/>
          <w:szCs w:val="24"/>
        </w:rPr>
        <w:footnoteReference w:id="29"/>
      </w:r>
      <w:r w:rsidRPr="002C3444">
        <w:rPr>
          <w:rFonts w:ascii="Times New Roman" w:eastAsia="Times New Roman" w:hAnsi="Times New Roman" w:cs="Times New Roman"/>
          <w:sz w:val="24"/>
          <w:szCs w:val="24"/>
        </w:rPr>
        <w:t>.</w:t>
      </w:r>
    </w:p>
    <w:p w:rsidR="00070003" w:rsidRPr="002C3444" w:rsidRDefault="00070003" w:rsidP="00070003">
      <w:pPr>
        <w:spacing w:after="0" w:line="360" w:lineRule="auto"/>
        <w:ind w:left="720" w:hanging="720"/>
        <w:contextualSpacing/>
        <w:jc w:val="both"/>
        <w:rPr>
          <w:rFonts w:ascii="Times New Roman" w:hAnsi="Times New Roman" w:cs="Times New Roman"/>
          <w:sz w:val="24"/>
          <w:szCs w:val="24"/>
        </w:rPr>
      </w:pPr>
    </w:p>
    <w:p w:rsidR="00070003" w:rsidRPr="002C3444" w:rsidRDefault="00070003" w:rsidP="00070003">
      <w:pPr>
        <w:spacing w:after="0" w:line="360" w:lineRule="auto"/>
        <w:ind w:left="720" w:hanging="720"/>
        <w:contextualSpacing/>
        <w:jc w:val="both"/>
        <w:rPr>
          <w:rFonts w:ascii="Times New Roman" w:hAnsi="Times New Roman" w:cs="Times New Roman"/>
          <w:sz w:val="24"/>
          <w:szCs w:val="24"/>
        </w:rPr>
      </w:pPr>
    </w:p>
    <w:p w:rsidR="00070003" w:rsidRPr="002C3444" w:rsidRDefault="00070003" w:rsidP="00070003">
      <w:pPr>
        <w:spacing w:after="0" w:line="360" w:lineRule="auto"/>
        <w:ind w:left="720" w:hanging="720"/>
        <w:contextualSpacing/>
        <w:jc w:val="both"/>
        <w:rPr>
          <w:rFonts w:ascii="Times New Roman" w:hAnsi="Times New Roman" w:cs="Times New Roman"/>
          <w:sz w:val="24"/>
          <w:szCs w:val="24"/>
        </w:rPr>
      </w:pPr>
      <w:r w:rsidRPr="002C3444">
        <w:rPr>
          <w:rFonts w:ascii="Times New Roman" w:hAnsi="Times New Roman" w:cs="Times New Roman"/>
          <w:b/>
          <w:sz w:val="24"/>
          <w:szCs w:val="24"/>
        </w:rPr>
        <w:t>PERIODICAL PAYMENTS</w:t>
      </w:r>
      <w:r w:rsidRPr="002C3444">
        <w:rPr>
          <w:rFonts w:ascii="Times New Roman" w:hAnsi="Times New Roman" w:cs="Times New Roman"/>
          <w:sz w:val="24"/>
          <w:szCs w:val="24"/>
        </w:rPr>
        <w:t xml:space="preserve"> </w:t>
      </w:r>
    </w:p>
    <w:p w:rsidR="00070003" w:rsidRPr="002C3444" w:rsidRDefault="00070003" w:rsidP="00070003">
      <w:pPr>
        <w:numPr>
          <w:ilvl w:val="0"/>
          <w:numId w:val="2"/>
        </w:numPr>
        <w:spacing w:after="0"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The power arises firstly where the CSA</w:t>
      </w:r>
      <w:r w:rsidRPr="002C3444">
        <w:rPr>
          <w:rFonts w:ascii="Times New Roman" w:hAnsi="Times New Roman" w:cs="Times New Roman"/>
          <w:sz w:val="24"/>
          <w:szCs w:val="24"/>
          <w:vertAlign w:val="superscript"/>
        </w:rPr>
        <w:footnoteReference w:id="30"/>
      </w:r>
      <w:r w:rsidRPr="002C3444">
        <w:rPr>
          <w:rFonts w:ascii="Times New Roman" w:hAnsi="Times New Roman" w:cs="Times New Roman"/>
          <w:sz w:val="24"/>
          <w:szCs w:val="24"/>
        </w:rPr>
        <w:t xml:space="preserve"> has no jurisdiction, either: </w:t>
      </w:r>
    </w:p>
    <w:p w:rsidR="00070003" w:rsidRPr="002C3444" w:rsidRDefault="00070003" w:rsidP="00070003">
      <w:pPr>
        <w:numPr>
          <w:ilvl w:val="0"/>
          <w:numId w:val="17"/>
        </w:numPr>
        <w:spacing w:line="360" w:lineRule="auto"/>
        <w:ind w:left="1843" w:hanging="425"/>
        <w:contextualSpacing/>
        <w:jc w:val="both"/>
        <w:rPr>
          <w:rFonts w:ascii="Times New Roman" w:eastAsia="Times New Roman" w:hAnsi="Times New Roman" w:cs="Times New Roman"/>
          <w:sz w:val="24"/>
          <w:szCs w:val="24"/>
        </w:rPr>
      </w:pPr>
      <w:proofErr w:type="gramStart"/>
      <w:r w:rsidRPr="002C3444">
        <w:rPr>
          <w:rFonts w:ascii="Times New Roman" w:hAnsi="Times New Roman" w:cs="Times New Roman"/>
          <w:sz w:val="24"/>
          <w:szCs w:val="24"/>
        </w:rPr>
        <w:lastRenderedPageBreak/>
        <w:t>where</w:t>
      </w:r>
      <w:proofErr w:type="gramEnd"/>
      <w:r w:rsidRPr="002C3444">
        <w:rPr>
          <w:rFonts w:ascii="Times New Roman" w:hAnsi="Times New Roman" w:cs="Times New Roman"/>
          <w:sz w:val="24"/>
          <w:szCs w:val="24"/>
        </w:rPr>
        <w:t xml:space="preserve"> the child or one of the parents live abroad: </w:t>
      </w:r>
      <w:r w:rsidRPr="002C3444">
        <w:rPr>
          <w:rFonts w:ascii="Times New Roman" w:hAnsi="Times New Roman" w:cs="Times New Roman"/>
          <w:sz w:val="24"/>
          <w:szCs w:val="24"/>
          <w:u w:val="single"/>
        </w:rPr>
        <w:t xml:space="preserve">s.44, 1991 Act. </w:t>
      </w:r>
      <w:r w:rsidRPr="002C3444">
        <w:rPr>
          <w:rFonts w:ascii="Times New Roman" w:eastAsia="Times New Roman" w:hAnsi="Times New Roman" w:cs="Times New Roman"/>
          <w:sz w:val="24"/>
          <w:szCs w:val="24"/>
        </w:rPr>
        <w:t>Where a party lives within the European Union, jurisdiction will be determined in accordance with the Maintenance Regulation</w:t>
      </w:r>
      <w:r w:rsidRPr="002C3444">
        <w:rPr>
          <w:rFonts w:ascii="Times New Roman" w:eastAsia="Times New Roman" w:hAnsi="Times New Roman" w:cs="Times New Roman"/>
          <w:sz w:val="24"/>
          <w:szCs w:val="24"/>
          <w:vertAlign w:val="superscript"/>
        </w:rPr>
        <w:footnoteReference w:id="31"/>
      </w:r>
      <w:r w:rsidRPr="002C3444">
        <w:rPr>
          <w:rFonts w:ascii="Times New Roman" w:eastAsia="Times New Roman" w:hAnsi="Times New Roman" w:cs="Times New Roman"/>
          <w:sz w:val="24"/>
          <w:szCs w:val="24"/>
        </w:rPr>
        <w:t>, specifically by reference to domicile (Arts. 2.3 and 3).</w:t>
      </w:r>
    </w:p>
    <w:p w:rsidR="00070003" w:rsidRPr="002C3444" w:rsidRDefault="00070003" w:rsidP="00070003">
      <w:pPr>
        <w:numPr>
          <w:ilvl w:val="0"/>
          <w:numId w:val="17"/>
        </w:numPr>
        <w:spacing w:line="360" w:lineRule="auto"/>
        <w:ind w:left="1843" w:hanging="425"/>
        <w:contextualSpacing/>
        <w:jc w:val="both"/>
        <w:rPr>
          <w:rFonts w:ascii="Times New Roman" w:hAnsi="Times New Roman" w:cs="Times New Roman"/>
          <w:sz w:val="24"/>
          <w:szCs w:val="24"/>
        </w:rPr>
      </w:pPr>
      <w:proofErr w:type="gramStart"/>
      <w:r w:rsidRPr="002C3444">
        <w:rPr>
          <w:rFonts w:ascii="Times New Roman" w:hAnsi="Times New Roman" w:cs="Times New Roman"/>
          <w:sz w:val="24"/>
          <w:szCs w:val="24"/>
        </w:rPr>
        <w:t>of</w:t>
      </w:r>
      <w:proofErr w:type="gramEnd"/>
      <w:r w:rsidRPr="002C3444">
        <w:rPr>
          <w:rFonts w:ascii="Times New Roman" w:hAnsi="Times New Roman" w:cs="Times New Roman"/>
          <w:sz w:val="24"/>
          <w:szCs w:val="24"/>
        </w:rPr>
        <w:t xml:space="preserve"> where the child is over age of 20</w:t>
      </w:r>
      <w:r w:rsidRPr="002C3444">
        <w:rPr>
          <w:rFonts w:ascii="Times New Roman" w:hAnsi="Times New Roman" w:cs="Times New Roman"/>
          <w:sz w:val="24"/>
          <w:szCs w:val="24"/>
          <w:vertAlign w:val="superscript"/>
        </w:rPr>
        <w:footnoteReference w:id="32"/>
      </w:r>
      <w:r w:rsidRPr="002C3444">
        <w:rPr>
          <w:rFonts w:ascii="Times New Roman" w:hAnsi="Times New Roman" w:cs="Times New Roman"/>
          <w:sz w:val="24"/>
          <w:szCs w:val="24"/>
        </w:rPr>
        <w:t xml:space="preserve"> and remains in education or other special circumstances apply: </w:t>
      </w:r>
      <w:r w:rsidRPr="002C3444">
        <w:rPr>
          <w:rFonts w:ascii="Times New Roman" w:hAnsi="Times New Roman" w:cs="Times New Roman"/>
          <w:sz w:val="24"/>
          <w:szCs w:val="24"/>
          <w:u w:val="single"/>
        </w:rPr>
        <w:t>s. 55, 1991 Act</w:t>
      </w:r>
      <w:r w:rsidRPr="002C3444">
        <w:rPr>
          <w:rFonts w:ascii="Times New Roman" w:hAnsi="Times New Roman" w:cs="Times New Roman"/>
          <w:sz w:val="24"/>
          <w:szCs w:val="24"/>
        </w:rPr>
        <w:t>.</w:t>
      </w:r>
    </w:p>
    <w:p w:rsidR="00070003" w:rsidRPr="002C3444" w:rsidRDefault="00070003" w:rsidP="00070003">
      <w:pPr>
        <w:spacing w:line="360" w:lineRule="auto"/>
        <w:ind w:left="2160"/>
        <w:contextualSpacing/>
        <w:jc w:val="both"/>
        <w:rPr>
          <w:rFonts w:ascii="Times New Roman" w:hAnsi="Times New Roman" w:cs="Times New Roman"/>
          <w:sz w:val="24"/>
          <w:szCs w:val="24"/>
        </w:rPr>
      </w:pPr>
    </w:p>
    <w:p w:rsidR="00070003" w:rsidRPr="002C3444" w:rsidRDefault="00070003" w:rsidP="00070003">
      <w:pPr>
        <w:numPr>
          <w:ilvl w:val="0"/>
          <w:numId w:val="2"/>
        </w:numPr>
        <w:spacing w:after="0"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Secondly, where the parents agree the quantum of an order: </w:t>
      </w:r>
      <w:r w:rsidRPr="002C3444">
        <w:rPr>
          <w:rFonts w:ascii="Times New Roman" w:hAnsi="Times New Roman" w:cs="Times New Roman"/>
          <w:sz w:val="24"/>
          <w:szCs w:val="24"/>
          <w:u w:val="single"/>
        </w:rPr>
        <w:t>s. 8(5) of the 1991 Act</w:t>
      </w:r>
      <w:r w:rsidRPr="002C3444">
        <w:rPr>
          <w:rFonts w:ascii="Times New Roman" w:hAnsi="Times New Roman" w:cs="Times New Roman"/>
          <w:sz w:val="24"/>
          <w:szCs w:val="24"/>
        </w:rPr>
        <w:t xml:space="preserve">, which can involve the device of parents agreeing to a nominal order and inviting the court to determine an upward variation: (per </w:t>
      </w:r>
      <w:r w:rsidRPr="002C3444">
        <w:rPr>
          <w:rFonts w:ascii="Times New Roman" w:hAnsi="Times New Roman" w:cs="Times New Roman"/>
          <w:i/>
          <w:sz w:val="24"/>
          <w:szCs w:val="24"/>
        </w:rPr>
        <w:t xml:space="preserve">V </w:t>
      </w:r>
      <w:proofErr w:type="spellStart"/>
      <w:r w:rsidRPr="002C3444">
        <w:rPr>
          <w:rFonts w:ascii="Times New Roman" w:hAnsi="Times New Roman" w:cs="Times New Roman"/>
          <w:i/>
          <w:sz w:val="24"/>
          <w:szCs w:val="24"/>
        </w:rPr>
        <w:t>v</w:t>
      </w:r>
      <w:proofErr w:type="spellEnd"/>
      <w:r w:rsidRPr="002C3444">
        <w:rPr>
          <w:rFonts w:ascii="Times New Roman" w:hAnsi="Times New Roman" w:cs="Times New Roman"/>
          <w:i/>
          <w:sz w:val="24"/>
          <w:szCs w:val="24"/>
        </w:rPr>
        <w:t xml:space="preserve"> </w:t>
      </w:r>
      <w:proofErr w:type="spellStart"/>
      <w:r w:rsidRPr="002C3444">
        <w:rPr>
          <w:rFonts w:ascii="Times New Roman" w:hAnsi="Times New Roman" w:cs="Times New Roman"/>
          <w:i/>
          <w:sz w:val="24"/>
          <w:szCs w:val="24"/>
        </w:rPr>
        <w:t>V</w:t>
      </w:r>
      <w:proofErr w:type="spellEnd"/>
      <w:r w:rsidRPr="002C3444">
        <w:rPr>
          <w:rFonts w:ascii="Times New Roman" w:hAnsi="Times New Roman" w:cs="Times New Roman"/>
          <w:i/>
          <w:sz w:val="24"/>
          <w:szCs w:val="24"/>
        </w:rPr>
        <w:t xml:space="preserve"> (Child Maintenance) </w:t>
      </w:r>
      <w:r w:rsidRPr="002C3444">
        <w:rPr>
          <w:rFonts w:ascii="Times New Roman" w:hAnsi="Times New Roman" w:cs="Times New Roman"/>
          <w:sz w:val="24"/>
          <w:szCs w:val="24"/>
        </w:rPr>
        <w:t xml:space="preserve">[2001] 2 FLR 799; </w:t>
      </w:r>
      <w:proofErr w:type="spellStart"/>
      <w:r w:rsidRPr="002C3444">
        <w:rPr>
          <w:rFonts w:ascii="Times New Roman" w:hAnsi="Times New Roman" w:cs="Times New Roman"/>
          <w:sz w:val="24"/>
          <w:szCs w:val="24"/>
        </w:rPr>
        <w:t>Sch</w:t>
      </w:r>
      <w:proofErr w:type="spellEnd"/>
      <w:r w:rsidRPr="002C3444">
        <w:rPr>
          <w:rFonts w:ascii="Times New Roman" w:hAnsi="Times New Roman" w:cs="Times New Roman"/>
          <w:sz w:val="24"/>
          <w:szCs w:val="24"/>
        </w:rPr>
        <w:t xml:space="preserve"> 1. Para. 6</w:t>
      </w:r>
      <w:r w:rsidRPr="002C3444">
        <w:rPr>
          <w:rFonts w:ascii="Times New Roman" w:hAnsi="Times New Roman" w:cs="Times New Roman"/>
          <w:sz w:val="24"/>
          <w:szCs w:val="24"/>
          <w:vertAlign w:val="superscript"/>
        </w:rPr>
        <w:footnoteReference w:id="33"/>
      </w:r>
      <w:r w:rsidRPr="002C3444">
        <w:rPr>
          <w:rFonts w:ascii="Times New Roman" w:hAnsi="Times New Roman" w:cs="Times New Roman"/>
          <w:sz w:val="24"/>
          <w:szCs w:val="24"/>
        </w:rPr>
        <w:t xml:space="preserve">. </w:t>
      </w:r>
    </w:p>
    <w:p w:rsidR="00070003" w:rsidRPr="002C3444" w:rsidRDefault="00070003" w:rsidP="00070003">
      <w:pPr>
        <w:spacing w:after="0" w:line="360" w:lineRule="auto"/>
        <w:ind w:left="1800"/>
        <w:contextualSpacing/>
        <w:jc w:val="both"/>
        <w:rPr>
          <w:rFonts w:ascii="Times New Roman" w:hAnsi="Times New Roman" w:cs="Times New Roman"/>
          <w:sz w:val="24"/>
          <w:szCs w:val="24"/>
        </w:rPr>
      </w:pPr>
    </w:p>
    <w:p w:rsidR="00070003" w:rsidRPr="002C3444" w:rsidRDefault="00070003" w:rsidP="00070003">
      <w:pPr>
        <w:numPr>
          <w:ilvl w:val="0"/>
          <w:numId w:val="2"/>
        </w:numPr>
        <w:spacing w:after="0"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Thirdly, an application for a ‘top-up’ order  where (1) an application </w:t>
      </w:r>
      <w:r w:rsidRPr="002C3444">
        <w:rPr>
          <w:rFonts w:ascii="Times New Roman" w:hAnsi="Times New Roman" w:cs="Times New Roman"/>
          <w:i/>
          <w:sz w:val="24"/>
          <w:szCs w:val="24"/>
        </w:rPr>
        <w:t>has already been made</w:t>
      </w:r>
      <w:r w:rsidRPr="002C3444">
        <w:rPr>
          <w:rFonts w:ascii="Times New Roman" w:hAnsi="Times New Roman" w:cs="Times New Roman"/>
          <w:sz w:val="24"/>
          <w:szCs w:val="24"/>
        </w:rPr>
        <w:t xml:space="preserve"> to the CSA</w:t>
      </w:r>
      <w:r w:rsidRPr="002C3444">
        <w:rPr>
          <w:rFonts w:ascii="Times New Roman" w:hAnsi="Times New Roman" w:cs="Times New Roman"/>
          <w:sz w:val="24"/>
          <w:szCs w:val="24"/>
          <w:vertAlign w:val="superscript"/>
        </w:rPr>
        <w:footnoteReference w:id="34"/>
      </w:r>
      <w:r w:rsidRPr="002C3444">
        <w:rPr>
          <w:rFonts w:ascii="Times New Roman" w:hAnsi="Times New Roman" w:cs="Times New Roman"/>
          <w:sz w:val="24"/>
          <w:szCs w:val="24"/>
        </w:rPr>
        <w:t>, [</w:t>
      </w:r>
      <w:r w:rsidRPr="002C3444">
        <w:rPr>
          <w:rFonts w:ascii="Times New Roman" w:hAnsi="Times New Roman" w:cs="Times New Roman"/>
          <w:i/>
          <w:sz w:val="24"/>
          <w:szCs w:val="24"/>
        </w:rPr>
        <w:t>PITFALL #3</w:t>
      </w:r>
      <w:r w:rsidRPr="002C3444">
        <w:rPr>
          <w:rFonts w:ascii="Times New Roman" w:hAnsi="Times New Roman" w:cs="Times New Roman"/>
          <w:sz w:val="24"/>
          <w:szCs w:val="24"/>
        </w:rPr>
        <w:t>], (2) the non-resident parent’s income exceeds £104,000 net pa</w:t>
      </w:r>
      <w:r w:rsidRPr="002C3444">
        <w:rPr>
          <w:rFonts w:ascii="Times New Roman" w:hAnsi="Times New Roman" w:cs="Times New Roman"/>
          <w:sz w:val="24"/>
          <w:szCs w:val="24"/>
          <w:vertAlign w:val="superscript"/>
        </w:rPr>
        <w:footnoteReference w:id="35"/>
      </w:r>
      <w:r w:rsidRPr="002C3444">
        <w:rPr>
          <w:rFonts w:ascii="Times New Roman" w:hAnsi="Times New Roman" w:cs="Times New Roman"/>
          <w:sz w:val="24"/>
          <w:szCs w:val="24"/>
        </w:rPr>
        <w:t xml:space="preserve"> and (3) the court is satisfied that in the circumstances of the case it is appropriate: s. 8(6)(a), in which case a top-up order is possible. In such circumstances, the court exercises a broad discretion with the child’s welfare a ‘constant influence’: e.g. </w:t>
      </w:r>
      <w:r w:rsidRPr="002C3444">
        <w:rPr>
          <w:rFonts w:ascii="Times New Roman" w:hAnsi="Times New Roman" w:cs="Times New Roman"/>
          <w:i/>
          <w:sz w:val="24"/>
          <w:szCs w:val="24"/>
        </w:rPr>
        <w:t xml:space="preserve">Re P </w:t>
      </w:r>
      <w:r w:rsidRPr="002C3444">
        <w:rPr>
          <w:rFonts w:ascii="Times New Roman" w:hAnsi="Times New Roman" w:cs="Times New Roman"/>
          <w:sz w:val="24"/>
          <w:szCs w:val="24"/>
        </w:rPr>
        <w:t xml:space="preserve">[2003] 2 FLR 865 (£70,000 pa); </w:t>
      </w:r>
      <w:r w:rsidRPr="002C3444">
        <w:rPr>
          <w:rFonts w:ascii="Times New Roman" w:hAnsi="Times New Roman" w:cs="Times New Roman"/>
          <w:i/>
          <w:sz w:val="24"/>
          <w:szCs w:val="24"/>
        </w:rPr>
        <w:t xml:space="preserve">N v D </w:t>
      </w:r>
      <w:r w:rsidRPr="002C3444">
        <w:rPr>
          <w:rFonts w:ascii="Times New Roman" w:hAnsi="Times New Roman" w:cs="Times New Roman"/>
          <w:sz w:val="24"/>
          <w:szCs w:val="24"/>
        </w:rPr>
        <w:t xml:space="preserve">[2008] 1 FLR 1629 (£48,000 pa), </w:t>
      </w:r>
      <w:r w:rsidRPr="002C3444">
        <w:rPr>
          <w:rFonts w:ascii="Times New Roman" w:hAnsi="Times New Roman" w:cs="Times New Roman"/>
          <w:i/>
          <w:sz w:val="24"/>
          <w:szCs w:val="24"/>
        </w:rPr>
        <w:t xml:space="preserve">FG v MBW </w:t>
      </w:r>
      <w:r w:rsidRPr="002C3444">
        <w:rPr>
          <w:rFonts w:ascii="Times New Roman" w:hAnsi="Times New Roman" w:cs="Times New Roman"/>
          <w:sz w:val="24"/>
          <w:szCs w:val="24"/>
        </w:rPr>
        <w:t>[2011] 1 FLR 152 (£28,000 pa).</w:t>
      </w:r>
      <w:r w:rsidR="002C3444">
        <w:rPr>
          <w:rStyle w:val="FootnoteReference"/>
          <w:rFonts w:ascii="Times New Roman" w:hAnsi="Times New Roman" w:cs="Times New Roman"/>
          <w:sz w:val="24"/>
          <w:szCs w:val="24"/>
        </w:rPr>
        <w:footnoteReference w:id="36"/>
      </w:r>
      <w:r w:rsidRPr="002C3444">
        <w:rPr>
          <w:rFonts w:ascii="Times New Roman" w:hAnsi="Times New Roman" w:cs="Times New Roman"/>
          <w:sz w:val="24"/>
          <w:szCs w:val="24"/>
        </w:rPr>
        <w:t xml:space="preserve"> </w:t>
      </w:r>
    </w:p>
    <w:p w:rsidR="00070003" w:rsidRPr="002C3444" w:rsidRDefault="00070003" w:rsidP="00070003">
      <w:pPr>
        <w:spacing w:after="0" w:line="360" w:lineRule="auto"/>
        <w:ind w:left="720" w:hanging="720"/>
        <w:contextualSpacing/>
        <w:jc w:val="both"/>
        <w:rPr>
          <w:rFonts w:ascii="Times New Roman" w:hAnsi="Times New Roman" w:cs="Times New Roman"/>
          <w:sz w:val="24"/>
          <w:szCs w:val="24"/>
        </w:rPr>
      </w:pPr>
    </w:p>
    <w:p w:rsidR="00070003" w:rsidRPr="002C3444" w:rsidRDefault="00070003" w:rsidP="00070003">
      <w:pPr>
        <w:numPr>
          <w:ilvl w:val="0"/>
          <w:numId w:val="2"/>
        </w:numPr>
        <w:spacing w:after="0"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Other situations can include: school fees: </w:t>
      </w:r>
      <w:r w:rsidRPr="002C3444">
        <w:rPr>
          <w:rFonts w:ascii="Times New Roman" w:hAnsi="Times New Roman" w:cs="Times New Roman"/>
          <w:sz w:val="24"/>
          <w:szCs w:val="24"/>
          <w:u w:val="single"/>
        </w:rPr>
        <w:t>s. 8(7)</w:t>
      </w:r>
      <w:r w:rsidRPr="002C3444">
        <w:rPr>
          <w:rFonts w:ascii="Times New Roman" w:hAnsi="Times New Roman" w:cs="Times New Roman"/>
          <w:sz w:val="24"/>
          <w:szCs w:val="24"/>
        </w:rPr>
        <w:t xml:space="preserve"> and an application to meet the expenses of a disabled child:  </w:t>
      </w:r>
      <w:r w:rsidRPr="002C3444">
        <w:rPr>
          <w:rFonts w:ascii="Times New Roman" w:hAnsi="Times New Roman" w:cs="Times New Roman"/>
          <w:sz w:val="24"/>
          <w:szCs w:val="24"/>
          <w:u w:val="single"/>
        </w:rPr>
        <w:t>s. 8(8), 8(9).</w:t>
      </w:r>
    </w:p>
    <w:p w:rsidR="00070003" w:rsidRPr="002C3444" w:rsidRDefault="00070003" w:rsidP="00070003">
      <w:pPr>
        <w:pStyle w:val="ListParagraph"/>
        <w:ind w:hanging="720"/>
        <w:jc w:val="both"/>
        <w:rPr>
          <w:rFonts w:ascii="Times New Roman" w:hAnsi="Times New Roman" w:cs="Times New Roman"/>
          <w:sz w:val="24"/>
          <w:szCs w:val="24"/>
        </w:rPr>
      </w:pPr>
    </w:p>
    <w:p w:rsidR="00070003" w:rsidRPr="002C3444" w:rsidRDefault="00070003" w:rsidP="00070003">
      <w:pPr>
        <w:numPr>
          <w:ilvl w:val="0"/>
          <w:numId w:val="2"/>
        </w:numPr>
        <w:spacing w:after="0"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lastRenderedPageBreak/>
        <w:t>Periodical payments order may begin from the date of the application</w:t>
      </w:r>
      <w:r w:rsidRPr="002C3444">
        <w:rPr>
          <w:rStyle w:val="FootnoteReference"/>
          <w:rFonts w:ascii="Times New Roman" w:hAnsi="Times New Roman" w:cs="Times New Roman"/>
          <w:sz w:val="24"/>
          <w:szCs w:val="24"/>
        </w:rPr>
        <w:footnoteReference w:id="37"/>
      </w:r>
      <w:r w:rsidRPr="002C3444">
        <w:rPr>
          <w:rFonts w:ascii="Times New Roman" w:hAnsi="Times New Roman" w:cs="Times New Roman"/>
          <w:sz w:val="24"/>
          <w:szCs w:val="24"/>
        </w:rPr>
        <w:t>.</w:t>
      </w:r>
    </w:p>
    <w:p w:rsidR="00070003" w:rsidRPr="002C3444" w:rsidRDefault="00070003" w:rsidP="00070003">
      <w:pPr>
        <w:pStyle w:val="ListParagraph"/>
        <w:jc w:val="both"/>
        <w:rPr>
          <w:rFonts w:ascii="Times New Roman" w:hAnsi="Times New Roman" w:cs="Times New Roman"/>
          <w:sz w:val="24"/>
          <w:szCs w:val="24"/>
        </w:rPr>
      </w:pPr>
    </w:p>
    <w:p w:rsidR="00070003" w:rsidRPr="002C3444" w:rsidRDefault="00070003" w:rsidP="00070003">
      <w:pPr>
        <w:numPr>
          <w:ilvl w:val="0"/>
          <w:numId w:val="2"/>
        </w:numPr>
        <w:spacing w:after="0" w:line="360" w:lineRule="auto"/>
        <w:ind w:hanging="720"/>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In the case of a “top-up” application, where a </w:t>
      </w:r>
      <w:r w:rsidR="00B30B3A" w:rsidRPr="002C3444">
        <w:rPr>
          <w:rFonts w:ascii="Times New Roman" w:eastAsia="Times New Roman" w:hAnsi="Times New Roman" w:cs="Times New Roman"/>
          <w:sz w:val="24"/>
          <w:szCs w:val="24"/>
        </w:rPr>
        <w:t>CSA</w:t>
      </w:r>
      <w:r w:rsidRPr="002C3444">
        <w:rPr>
          <w:rFonts w:ascii="Times New Roman" w:eastAsia="Times New Roman" w:hAnsi="Times New Roman" w:cs="Times New Roman"/>
          <w:sz w:val="24"/>
          <w:szCs w:val="24"/>
        </w:rPr>
        <w:t xml:space="preserve"> calculation is in force and an application is made for the child, the term specified in the order may be expressed to begin “on or at any time after the earliest permitted date”, which is the later of (a) the date 6 months before the application is made; or (b) the date on which the current calculation took effect, or where successive calculation have been continuously in force with respect to a child on which the first of those calculation took effect</w:t>
      </w:r>
      <w:r w:rsidR="002C3444">
        <w:rPr>
          <w:rFonts w:ascii="Times New Roman" w:eastAsia="Times New Roman" w:hAnsi="Times New Roman" w:cs="Times New Roman"/>
          <w:sz w:val="24"/>
          <w:szCs w:val="24"/>
        </w:rPr>
        <w:t xml:space="preserve">. </w:t>
      </w:r>
      <w:r w:rsidR="002C3444" w:rsidRPr="000A3A43">
        <w:rPr>
          <w:rFonts w:ascii="Times New Roman" w:hAnsi="Times New Roman" w:cs="Times New Roman"/>
        </w:rPr>
        <w:t>Schedule 1, para 3(6)</w:t>
      </w:r>
      <w:r w:rsidR="002C3444">
        <w:rPr>
          <w:rFonts w:ascii="Times New Roman" w:hAnsi="Times New Roman" w:cs="Times New Roman"/>
        </w:rPr>
        <w:t xml:space="preserve">; </w:t>
      </w:r>
      <w:r w:rsidR="002C3444" w:rsidRPr="002C3444">
        <w:rPr>
          <w:rFonts w:ascii="Times New Roman" w:hAnsi="Times New Roman" w:cs="Times New Roman"/>
          <w:i/>
        </w:rPr>
        <w:t>H v C</w:t>
      </w:r>
      <w:r w:rsidR="002C3444" w:rsidRPr="000A3A43">
        <w:rPr>
          <w:rFonts w:ascii="Times New Roman" w:hAnsi="Times New Roman" w:cs="Times New Roman"/>
        </w:rPr>
        <w:t xml:space="preserve"> [2009] 2 FLR 1540</w:t>
      </w:r>
    </w:p>
    <w:p w:rsidR="00070003" w:rsidRPr="002C3444" w:rsidRDefault="00070003" w:rsidP="00070003">
      <w:pPr>
        <w:spacing w:after="0" w:line="360" w:lineRule="auto"/>
        <w:ind w:left="1080"/>
        <w:jc w:val="both"/>
        <w:rPr>
          <w:rFonts w:ascii="Times New Roman" w:eastAsia="Times New Roman" w:hAnsi="Times New Roman" w:cs="Times New Roman"/>
          <w:sz w:val="24"/>
          <w:szCs w:val="24"/>
        </w:rPr>
      </w:pPr>
    </w:p>
    <w:p w:rsidR="002B1E45" w:rsidRDefault="002B1E45" w:rsidP="00070003">
      <w:pPr>
        <w:numPr>
          <w:ilvl w:val="0"/>
          <w:numId w:val="2"/>
        </w:numPr>
        <w:spacing w:after="0" w:line="360" w:lineRule="auto"/>
        <w:ind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General points to note:</w:t>
      </w:r>
    </w:p>
    <w:p w:rsidR="002B1E45" w:rsidRDefault="00070003" w:rsidP="002B1E45">
      <w:pPr>
        <w:pStyle w:val="ListParagraph"/>
        <w:numPr>
          <w:ilvl w:val="3"/>
          <w:numId w:val="19"/>
        </w:numPr>
        <w:spacing w:after="0" w:line="360" w:lineRule="auto"/>
        <w:ind w:left="1985" w:hanging="567"/>
        <w:jc w:val="both"/>
        <w:rPr>
          <w:rFonts w:ascii="Times New Roman" w:eastAsia="Times New Roman" w:hAnsi="Times New Roman" w:cs="Times New Roman"/>
          <w:sz w:val="24"/>
          <w:szCs w:val="24"/>
        </w:rPr>
      </w:pPr>
      <w:r w:rsidRPr="002B1E45">
        <w:rPr>
          <w:rFonts w:ascii="Times New Roman" w:eastAsia="Times New Roman" w:hAnsi="Times New Roman" w:cs="Times New Roman"/>
          <w:sz w:val="24"/>
          <w:szCs w:val="24"/>
        </w:rPr>
        <w:t>If a CSA calculation ceases to have effect and an application is made to the court within 6 months of it ceasing to have effect or being cancelled, the term of the order can commence on the date that the former calculation ceased to have effect</w:t>
      </w:r>
      <w:r w:rsidRPr="002C3444">
        <w:rPr>
          <w:rStyle w:val="FootnoteReference"/>
          <w:rFonts w:ascii="Times New Roman" w:eastAsia="Times New Roman" w:hAnsi="Times New Roman" w:cs="Times New Roman"/>
          <w:sz w:val="24"/>
          <w:szCs w:val="24"/>
        </w:rPr>
        <w:footnoteReference w:id="38"/>
      </w:r>
      <w:r w:rsidRPr="002B1E45">
        <w:rPr>
          <w:rFonts w:ascii="Times New Roman" w:eastAsia="Times New Roman" w:hAnsi="Times New Roman" w:cs="Times New Roman"/>
          <w:sz w:val="24"/>
          <w:szCs w:val="24"/>
        </w:rPr>
        <w:t>.</w:t>
      </w:r>
    </w:p>
    <w:p w:rsidR="002B1E45" w:rsidRDefault="00070003" w:rsidP="002B1E45">
      <w:pPr>
        <w:pStyle w:val="ListParagraph"/>
        <w:numPr>
          <w:ilvl w:val="3"/>
          <w:numId w:val="19"/>
        </w:numPr>
        <w:spacing w:after="0" w:line="360" w:lineRule="auto"/>
        <w:ind w:left="1985" w:hanging="567"/>
        <w:jc w:val="both"/>
        <w:rPr>
          <w:rFonts w:ascii="Times New Roman" w:eastAsia="Times New Roman" w:hAnsi="Times New Roman" w:cs="Times New Roman"/>
          <w:sz w:val="24"/>
          <w:szCs w:val="24"/>
        </w:rPr>
      </w:pPr>
      <w:r w:rsidRPr="002B1E45">
        <w:rPr>
          <w:rFonts w:ascii="Times New Roman" w:eastAsia="Times New Roman" w:hAnsi="Times New Roman" w:cs="Times New Roman"/>
          <w:sz w:val="24"/>
          <w:szCs w:val="24"/>
        </w:rPr>
        <w:t>An order for periodical payments ceases on the death of the person making the payments</w:t>
      </w:r>
      <w:r w:rsidRPr="002C3444">
        <w:rPr>
          <w:rFonts w:eastAsia="Times New Roman"/>
          <w:vertAlign w:val="superscript"/>
        </w:rPr>
        <w:footnoteReference w:id="39"/>
      </w:r>
      <w:r w:rsidRPr="002B1E45">
        <w:rPr>
          <w:rFonts w:ascii="Times New Roman" w:eastAsia="Times New Roman" w:hAnsi="Times New Roman" w:cs="Times New Roman"/>
          <w:sz w:val="24"/>
          <w:szCs w:val="24"/>
        </w:rPr>
        <w:t>.</w:t>
      </w:r>
      <w:r w:rsidR="00361187" w:rsidRPr="002B1E45">
        <w:rPr>
          <w:rFonts w:ascii="Times New Roman" w:eastAsia="Times New Roman" w:hAnsi="Times New Roman" w:cs="Times New Roman"/>
          <w:sz w:val="24"/>
          <w:szCs w:val="24"/>
        </w:rPr>
        <w:t xml:space="preserve"> The court can backdate such payments to the date of the application</w:t>
      </w:r>
      <w:r w:rsidR="00361187" w:rsidRPr="002C3444">
        <w:rPr>
          <w:rFonts w:eastAsia="Times New Roman"/>
          <w:vertAlign w:val="superscript"/>
        </w:rPr>
        <w:footnoteReference w:id="40"/>
      </w:r>
      <w:r w:rsidR="00361187" w:rsidRPr="002B1E45">
        <w:rPr>
          <w:rFonts w:ascii="Times New Roman" w:eastAsia="Times New Roman" w:hAnsi="Times New Roman" w:cs="Times New Roman"/>
          <w:sz w:val="24"/>
          <w:szCs w:val="24"/>
        </w:rPr>
        <w:t>.</w:t>
      </w:r>
    </w:p>
    <w:p w:rsidR="002B1E45" w:rsidRDefault="00070003" w:rsidP="002B1E45">
      <w:pPr>
        <w:pStyle w:val="ListParagraph"/>
        <w:numPr>
          <w:ilvl w:val="3"/>
          <w:numId w:val="19"/>
        </w:numPr>
        <w:spacing w:after="0" w:line="360" w:lineRule="auto"/>
        <w:ind w:left="1985" w:hanging="567"/>
        <w:jc w:val="both"/>
        <w:rPr>
          <w:rFonts w:ascii="Times New Roman" w:eastAsia="Times New Roman" w:hAnsi="Times New Roman" w:cs="Times New Roman"/>
          <w:sz w:val="24"/>
          <w:szCs w:val="24"/>
        </w:rPr>
      </w:pPr>
      <w:r w:rsidRPr="002B1E45">
        <w:rPr>
          <w:rFonts w:ascii="Times New Roman" w:eastAsia="Times New Roman" w:hAnsi="Times New Roman" w:cs="Times New Roman"/>
          <w:sz w:val="24"/>
          <w:szCs w:val="24"/>
        </w:rPr>
        <w:t>If the parent making the payments and the parent receiving the payments live together for 6 months or more, the periodical payments order ceases</w:t>
      </w:r>
      <w:r w:rsidRPr="002C3444">
        <w:rPr>
          <w:rFonts w:eastAsia="Times New Roman"/>
          <w:vertAlign w:val="superscript"/>
        </w:rPr>
        <w:footnoteReference w:id="41"/>
      </w:r>
      <w:r w:rsidRPr="002B1E45">
        <w:rPr>
          <w:rFonts w:ascii="Times New Roman" w:eastAsia="Times New Roman" w:hAnsi="Times New Roman" w:cs="Times New Roman"/>
          <w:sz w:val="24"/>
          <w:szCs w:val="24"/>
        </w:rPr>
        <w:t>.</w:t>
      </w:r>
    </w:p>
    <w:p w:rsidR="00070003" w:rsidRPr="002B1E45" w:rsidRDefault="00070003" w:rsidP="002B1E45">
      <w:pPr>
        <w:pStyle w:val="ListParagraph"/>
        <w:numPr>
          <w:ilvl w:val="3"/>
          <w:numId w:val="19"/>
        </w:numPr>
        <w:spacing w:after="0" w:line="360" w:lineRule="auto"/>
        <w:ind w:left="1985" w:hanging="567"/>
        <w:jc w:val="both"/>
        <w:rPr>
          <w:rFonts w:ascii="Times New Roman" w:eastAsia="Times New Roman" w:hAnsi="Times New Roman" w:cs="Times New Roman"/>
          <w:sz w:val="24"/>
          <w:szCs w:val="24"/>
        </w:rPr>
      </w:pPr>
      <w:r w:rsidRPr="002B1E45">
        <w:rPr>
          <w:rFonts w:ascii="Times New Roman" w:eastAsia="Times New Roman" w:hAnsi="Times New Roman" w:cs="Times New Roman"/>
          <w:sz w:val="24"/>
          <w:szCs w:val="24"/>
        </w:rPr>
        <w:t xml:space="preserve">Either party is free to go to </w:t>
      </w:r>
      <w:r w:rsidR="00B30B3A" w:rsidRPr="002B1E45">
        <w:rPr>
          <w:rFonts w:ascii="Times New Roman" w:eastAsia="Times New Roman" w:hAnsi="Times New Roman" w:cs="Times New Roman"/>
          <w:sz w:val="24"/>
          <w:szCs w:val="24"/>
        </w:rPr>
        <w:t>the statutory agency</w:t>
      </w:r>
      <w:r w:rsidRPr="002B1E45">
        <w:rPr>
          <w:rFonts w:ascii="Times New Roman" w:eastAsia="Times New Roman" w:hAnsi="Times New Roman" w:cs="Times New Roman"/>
          <w:sz w:val="24"/>
          <w:szCs w:val="24"/>
        </w:rPr>
        <w:t xml:space="preserve"> after 12 months</w:t>
      </w:r>
      <w:r w:rsidRPr="002C3444">
        <w:rPr>
          <w:rFonts w:eastAsia="Times New Roman"/>
          <w:vertAlign w:val="superscript"/>
        </w:rPr>
        <w:footnoteReference w:id="42"/>
      </w:r>
      <w:r w:rsidRPr="002B1E45">
        <w:rPr>
          <w:rFonts w:ascii="Times New Roman" w:eastAsia="Times New Roman" w:hAnsi="Times New Roman" w:cs="Times New Roman"/>
          <w:sz w:val="24"/>
          <w:szCs w:val="24"/>
        </w:rPr>
        <w:t>.</w:t>
      </w:r>
    </w:p>
    <w:p w:rsidR="00070003" w:rsidRPr="002C3444" w:rsidRDefault="00070003" w:rsidP="00070003">
      <w:pPr>
        <w:spacing w:after="0" w:line="360" w:lineRule="auto"/>
        <w:ind w:hanging="720"/>
        <w:jc w:val="both"/>
        <w:rPr>
          <w:rFonts w:ascii="Times New Roman" w:eastAsia="Times New Roman" w:hAnsi="Times New Roman" w:cs="Times New Roman"/>
          <w:sz w:val="24"/>
          <w:szCs w:val="24"/>
        </w:rPr>
      </w:pPr>
    </w:p>
    <w:p w:rsidR="00070003" w:rsidRPr="002C3444" w:rsidRDefault="00070003" w:rsidP="00070003">
      <w:pPr>
        <w:jc w:val="both"/>
        <w:rPr>
          <w:rFonts w:ascii="Times New Roman" w:eastAsia="Times New Roman" w:hAnsi="Times New Roman" w:cs="Times New Roman"/>
          <w:b/>
          <w:sz w:val="24"/>
          <w:szCs w:val="24"/>
        </w:rPr>
      </w:pPr>
    </w:p>
    <w:p w:rsidR="00070003" w:rsidRPr="002C3444" w:rsidRDefault="00070003" w:rsidP="00070003">
      <w:pPr>
        <w:jc w:val="both"/>
        <w:rPr>
          <w:rFonts w:ascii="Times New Roman" w:eastAsia="Times New Roman" w:hAnsi="Times New Roman" w:cs="Times New Roman"/>
          <w:b/>
          <w:sz w:val="24"/>
          <w:szCs w:val="24"/>
        </w:rPr>
      </w:pPr>
      <w:r w:rsidRPr="002C3444">
        <w:rPr>
          <w:rFonts w:ascii="Times New Roman" w:eastAsia="Times New Roman" w:hAnsi="Times New Roman" w:cs="Times New Roman"/>
          <w:b/>
          <w:sz w:val="24"/>
          <w:szCs w:val="24"/>
        </w:rPr>
        <w:t>VARIATIONS</w:t>
      </w:r>
    </w:p>
    <w:p w:rsidR="00070003" w:rsidRPr="002B1E45" w:rsidRDefault="00070003" w:rsidP="002B1E45">
      <w:pPr>
        <w:pStyle w:val="ListParagraph"/>
        <w:numPr>
          <w:ilvl w:val="0"/>
          <w:numId w:val="2"/>
        </w:numPr>
        <w:spacing w:after="0" w:line="360" w:lineRule="auto"/>
        <w:ind w:hanging="720"/>
        <w:jc w:val="both"/>
        <w:rPr>
          <w:rFonts w:ascii="Times New Roman" w:eastAsia="Times New Roman" w:hAnsi="Times New Roman" w:cs="Times New Roman"/>
          <w:sz w:val="24"/>
          <w:szCs w:val="24"/>
        </w:rPr>
      </w:pPr>
      <w:r w:rsidRPr="002B1E45">
        <w:rPr>
          <w:rFonts w:ascii="Times New Roman" w:eastAsia="Times New Roman" w:hAnsi="Times New Roman" w:cs="Times New Roman"/>
          <w:sz w:val="24"/>
          <w:szCs w:val="24"/>
        </w:rPr>
        <w:lastRenderedPageBreak/>
        <w:t>Variations can be ordered of periodical payments and secured periodical payments</w:t>
      </w:r>
      <w:r w:rsidRPr="002C3444">
        <w:rPr>
          <w:rStyle w:val="FootnoteReference"/>
          <w:rFonts w:ascii="Times New Roman" w:eastAsia="Times New Roman" w:hAnsi="Times New Roman" w:cs="Times New Roman"/>
          <w:sz w:val="24"/>
          <w:szCs w:val="24"/>
        </w:rPr>
        <w:footnoteReference w:id="43"/>
      </w:r>
      <w:r w:rsidRPr="002B1E45">
        <w:rPr>
          <w:rFonts w:ascii="Times New Roman" w:eastAsia="Times New Roman" w:hAnsi="Times New Roman" w:cs="Times New Roman"/>
          <w:sz w:val="24"/>
          <w:szCs w:val="24"/>
        </w:rPr>
        <w:t>. They can be ordered of maintenance agreements containing financial provision for a child (periodical payments, secured payments, disposition or use of any property for the maintenance or education of the child)</w:t>
      </w:r>
      <w:r w:rsidRPr="002C3444">
        <w:rPr>
          <w:rFonts w:eastAsia="Times New Roman"/>
          <w:vertAlign w:val="superscript"/>
        </w:rPr>
        <w:footnoteReference w:id="44"/>
      </w:r>
      <w:r w:rsidRPr="002B1E45">
        <w:rPr>
          <w:rFonts w:ascii="Times New Roman" w:eastAsia="Times New Roman" w:hAnsi="Times New Roman" w:cs="Times New Roman"/>
          <w:sz w:val="24"/>
          <w:szCs w:val="24"/>
        </w:rPr>
        <w:t>. However the power of Magistrates’ Courts to vary/revoke maintenance agreements is very limited</w:t>
      </w:r>
      <w:r w:rsidRPr="002C3444">
        <w:rPr>
          <w:rFonts w:eastAsia="Times New Roman"/>
          <w:vertAlign w:val="superscript"/>
        </w:rPr>
        <w:footnoteReference w:id="45"/>
      </w:r>
      <w:r w:rsidRPr="002B1E45">
        <w:rPr>
          <w:rFonts w:ascii="Times New Roman" w:eastAsia="Times New Roman" w:hAnsi="Times New Roman" w:cs="Times New Roman"/>
          <w:sz w:val="24"/>
          <w:szCs w:val="24"/>
        </w:rPr>
        <w:t>.</w:t>
      </w:r>
    </w:p>
    <w:p w:rsidR="00070003" w:rsidRPr="002C3444" w:rsidRDefault="00070003" w:rsidP="00070003">
      <w:pPr>
        <w:spacing w:after="0" w:line="360" w:lineRule="auto"/>
        <w:ind w:left="360" w:hanging="720"/>
        <w:jc w:val="both"/>
        <w:rPr>
          <w:rFonts w:ascii="Times New Roman" w:eastAsia="Times New Roman" w:hAnsi="Times New Roman" w:cs="Times New Roman"/>
          <w:sz w:val="24"/>
          <w:szCs w:val="24"/>
        </w:rPr>
      </w:pPr>
    </w:p>
    <w:p w:rsidR="00070003" w:rsidRPr="002B1E45" w:rsidRDefault="00070003" w:rsidP="002B1E45">
      <w:pPr>
        <w:numPr>
          <w:ilvl w:val="0"/>
          <w:numId w:val="2"/>
        </w:numPr>
        <w:spacing w:after="0" w:line="360" w:lineRule="auto"/>
        <w:ind w:hanging="720"/>
        <w:jc w:val="both"/>
        <w:rPr>
          <w:rFonts w:ascii="Times New Roman" w:eastAsia="Times New Roman" w:hAnsi="Times New Roman" w:cs="Times New Roman"/>
          <w:sz w:val="24"/>
          <w:szCs w:val="24"/>
        </w:rPr>
      </w:pPr>
      <w:r w:rsidRPr="002B1E45">
        <w:rPr>
          <w:rFonts w:ascii="Times New Roman" w:eastAsia="Times New Roman" w:hAnsi="Times New Roman" w:cs="Times New Roman"/>
          <w:sz w:val="24"/>
          <w:szCs w:val="24"/>
        </w:rPr>
        <w:t>Variation applications for periodical payments if the child is over 16 can be made by the child itself</w:t>
      </w:r>
      <w:r w:rsidRPr="002C3444">
        <w:rPr>
          <w:rFonts w:ascii="Times New Roman" w:eastAsia="Times New Roman" w:hAnsi="Times New Roman" w:cs="Times New Roman"/>
          <w:sz w:val="24"/>
          <w:szCs w:val="24"/>
          <w:vertAlign w:val="superscript"/>
        </w:rPr>
        <w:footnoteReference w:id="46"/>
      </w:r>
      <w:r w:rsidRPr="002B1E45">
        <w:rPr>
          <w:rFonts w:ascii="Times New Roman" w:eastAsia="Times New Roman" w:hAnsi="Times New Roman" w:cs="Times New Roman"/>
          <w:sz w:val="24"/>
          <w:szCs w:val="24"/>
        </w:rPr>
        <w:t>.</w:t>
      </w:r>
      <w:r w:rsidR="002B1E45" w:rsidRPr="002B1E45">
        <w:rPr>
          <w:rFonts w:ascii="Times New Roman" w:eastAsia="Times New Roman" w:hAnsi="Times New Roman" w:cs="Times New Roman"/>
          <w:sz w:val="24"/>
          <w:szCs w:val="24"/>
        </w:rPr>
        <w:t xml:space="preserve"> </w:t>
      </w:r>
      <w:r w:rsidRPr="002B1E45">
        <w:rPr>
          <w:rFonts w:ascii="Times New Roman" w:eastAsia="Times New Roman" w:hAnsi="Times New Roman" w:cs="Times New Roman"/>
          <w:sz w:val="24"/>
          <w:szCs w:val="24"/>
        </w:rPr>
        <w:t>If the periodical payments order ceases between the child’s 16</w:t>
      </w:r>
      <w:r w:rsidRPr="002B1E45">
        <w:rPr>
          <w:rFonts w:ascii="Times New Roman" w:eastAsia="Times New Roman" w:hAnsi="Times New Roman" w:cs="Times New Roman"/>
          <w:sz w:val="24"/>
          <w:szCs w:val="24"/>
          <w:vertAlign w:val="superscript"/>
        </w:rPr>
        <w:t>th</w:t>
      </w:r>
      <w:r w:rsidRPr="002B1E45">
        <w:rPr>
          <w:rFonts w:ascii="Times New Roman" w:eastAsia="Times New Roman" w:hAnsi="Times New Roman" w:cs="Times New Roman"/>
          <w:sz w:val="24"/>
          <w:szCs w:val="24"/>
        </w:rPr>
        <w:t xml:space="preserve"> and 18</w:t>
      </w:r>
      <w:r w:rsidRPr="002B1E45">
        <w:rPr>
          <w:rFonts w:ascii="Times New Roman" w:eastAsia="Times New Roman" w:hAnsi="Times New Roman" w:cs="Times New Roman"/>
          <w:sz w:val="24"/>
          <w:szCs w:val="24"/>
          <w:vertAlign w:val="superscript"/>
        </w:rPr>
        <w:t>th</w:t>
      </w:r>
      <w:r w:rsidRPr="002B1E45">
        <w:rPr>
          <w:rFonts w:ascii="Times New Roman" w:eastAsia="Times New Roman" w:hAnsi="Times New Roman" w:cs="Times New Roman"/>
          <w:sz w:val="24"/>
          <w:szCs w:val="24"/>
        </w:rPr>
        <w:t xml:space="preserve"> birthday, he/she can apply to revive it</w:t>
      </w:r>
      <w:r w:rsidRPr="002C3444">
        <w:rPr>
          <w:rFonts w:ascii="Times New Roman" w:eastAsia="Times New Roman" w:hAnsi="Times New Roman" w:cs="Times New Roman"/>
          <w:sz w:val="24"/>
          <w:szCs w:val="24"/>
          <w:vertAlign w:val="superscript"/>
        </w:rPr>
        <w:footnoteReference w:id="47"/>
      </w:r>
      <w:r w:rsidRPr="002B1E45">
        <w:rPr>
          <w:rFonts w:ascii="Times New Roman" w:eastAsia="Times New Roman" w:hAnsi="Times New Roman" w:cs="Times New Roman"/>
          <w:sz w:val="24"/>
          <w:szCs w:val="24"/>
        </w:rPr>
        <w:t>.</w:t>
      </w:r>
    </w:p>
    <w:p w:rsidR="00070003" w:rsidRPr="002C3444" w:rsidRDefault="00070003" w:rsidP="00070003">
      <w:pPr>
        <w:pStyle w:val="ListParagraph"/>
        <w:jc w:val="both"/>
        <w:rPr>
          <w:rFonts w:ascii="Times New Roman" w:eastAsia="Times New Roman" w:hAnsi="Times New Roman" w:cs="Times New Roman"/>
          <w:sz w:val="24"/>
          <w:szCs w:val="24"/>
        </w:rPr>
      </w:pPr>
    </w:p>
    <w:p w:rsidR="00070003" w:rsidRPr="002C3444" w:rsidRDefault="00070003" w:rsidP="002B1E45">
      <w:pPr>
        <w:numPr>
          <w:ilvl w:val="0"/>
          <w:numId w:val="2"/>
        </w:numPr>
        <w:spacing w:after="0" w:line="360" w:lineRule="auto"/>
        <w:ind w:hanging="720"/>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In the court’s discretion, a variation may be backdated to the date of the application (or to any date between the date of the application and the date of the variation order)</w:t>
      </w:r>
      <w:r w:rsidRPr="002C3444">
        <w:rPr>
          <w:rStyle w:val="FootnoteReference"/>
          <w:rFonts w:ascii="Times New Roman" w:eastAsia="Times New Roman" w:hAnsi="Times New Roman" w:cs="Times New Roman"/>
          <w:sz w:val="24"/>
          <w:szCs w:val="24"/>
        </w:rPr>
        <w:footnoteReference w:id="48"/>
      </w:r>
      <w:r w:rsidRPr="002C3444">
        <w:rPr>
          <w:rFonts w:ascii="Times New Roman" w:eastAsia="Times New Roman" w:hAnsi="Times New Roman" w:cs="Times New Roman"/>
          <w:sz w:val="24"/>
          <w:szCs w:val="24"/>
        </w:rPr>
        <w:t>.</w:t>
      </w:r>
    </w:p>
    <w:p w:rsidR="00070003" w:rsidRPr="002C3444" w:rsidRDefault="00070003" w:rsidP="00070003">
      <w:pPr>
        <w:spacing w:line="360" w:lineRule="auto"/>
        <w:ind w:left="720"/>
        <w:contextualSpacing/>
        <w:jc w:val="both"/>
        <w:rPr>
          <w:rFonts w:ascii="Times New Roman" w:hAnsi="Times New Roman" w:cs="Times New Roman"/>
          <w:b/>
          <w:u w:val="single"/>
        </w:rPr>
      </w:pPr>
    </w:p>
    <w:p w:rsidR="00070003" w:rsidRPr="002C3444" w:rsidRDefault="00070003" w:rsidP="00070003">
      <w:pPr>
        <w:spacing w:line="360" w:lineRule="auto"/>
        <w:contextualSpacing/>
        <w:jc w:val="both"/>
        <w:rPr>
          <w:rFonts w:ascii="Times New Roman" w:hAnsi="Times New Roman" w:cs="Times New Roman"/>
          <w:sz w:val="24"/>
          <w:szCs w:val="24"/>
        </w:rPr>
      </w:pPr>
    </w:p>
    <w:p w:rsidR="00070003" w:rsidRPr="002C3444" w:rsidRDefault="00070003" w:rsidP="00070003">
      <w:pPr>
        <w:spacing w:line="360" w:lineRule="auto"/>
        <w:contextualSpacing/>
        <w:jc w:val="both"/>
        <w:rPr>
          <w:rFonts w:ascii="Times New Roman" w:hAnsi="Times New Roman" w:cs="Times New Roman"/>
          <w:b/>
          <w:sz w:val="24"/>
          <w:szCs w:val="24"/>
        </w:rPr>
      </w:pPr>
      <w:proofErr w:type="gramStart"/>
      <w:r w:rsidRPr="002C3444">
        <w:rPr>
          <w:rFonts w:ascii="Times New Roman" w:hAnsi="Times New Roman" w:cs="Times New Roman"/>
          <w:b/>
          <w:sz w:val="24"/>
          <w:szCs w:val="24"/>
        </w:rPr>
        <w:t>THE STATUTORY SCHEME (CSA/CMEC/…)</w:t>
      </w:r>
      <w:proofErr w:type="gramEnd"/>
    </w:p>
    <w:p w:rsidR="00070003" w:rsidRPr="002C3444" w:rsidRDefault="00070003" w:rsidP="002B1E45">
      <w:pPr>
        <w:numPr>
          <w:ilvl w:val="0"/>
          <w:numId w:val="2"/>
        </w:numPr>
        <w:spacing w:after="0"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A potted history of the CSA:</w:t>
      </w:r>
    </w:p>
    <w:p w:rsidR="00070003" w:rsidRPr="002C3444" w:rsidRDefault="00070003" w:rsidP="00070003">
      <w:pPr>
        <w:numPr>
          <w:ilvl w:val="0"/>
          <w:numId w:val="12"/>
        </w:numPr>
        <w:spacing w:after="0"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‘1991 Regime’: </w:t>
      </w:r>
      <w:r w:rsidRPr="002C3444">
        <w:rPr>
          <w:rFonts w:ascii="Times New Roman" w:hAnsi="Times New Roman" w:cs="Times New Roman"/>
          <w:sz w:val="24"/>
          <w:szCs w:val="24"/>
          <w:u w:val="single"/>
        </w:rPr>
        <w:t>Child Support Act 1991</w:t>
      </w:r>
      <w:r w:rsidRPr="002C3444">
        <w:rPr>
          <w:rFonts w:ascii="Times New Roman" w:hAnsi="Times New Roman" w:cs="Times New Roman"/>
          <w:sz w:val="24"/>
          <w:szCs w:val="24"/>
        </w:rPr>
        <w:t>, hellishly complicated, governed all applications pre 3.3.03</w:t>
      </w:r>
      <w:r w:rsidRPr="002C3444">
        <w:rPr>
          <w:rFonts w:ascii="Times New Roman" w:hAnsi="Times New Roman" w:cs="Times New Roman"/>
          <w:sz w:val="24"/>
          <w:szCs w:val="24"/>
          <w:vertAlign w:val="superscript"/>
        </w:rPr>
        <w:footnoteReference w:id="49"/>
      </w:r>
      <w:r w:rsidRPr="002C3444">
        <w:rPr>
          <w:rFonts w:ascii="Times New Roman" w:hAnsi="Times New Roman" w:cs="Times New Roman"/>
          <w:sz w:val="24"/>
          <w:szCs w:val="24"/>
        </w:rPr>
        <w:t>;</w:t>
      </w:r>
    </w:p>
    <w:p w:rsidR="00070003" w:rsidRPr="002C3444" w:rsidRDefault="00070003" w:rsidP="00070003">
      <w:pPr>
        <w:spacing w:after="0" w:line="360" w:lineRule="auto"/>
        <w:ind w:left="1800"/>
        <w:contextualSpacing/>
        <w:jc w:val="both"/>
        <w:rPr>
          <w:rFonts w:ascii="Times New Roman" w:hAnsi="Times New Roman" w:cs="Times New Roman"/>
          <w:sz w:val="24"/>
          <w:szCs w:val="24"/>
        </w:rPr>
      </w:pPr>
    </w:p>
    <w:p w:rsidR="00070003" w:rsidRPr="002C3444" w:rsidRDefault="00070003" w:rsidP="00070003">
      <w:pPr>
        <w:numPr>
          <w:ilvl w:val="0"/>
          <w:numId w:val="12"/>
        </w:numPr>
        <w:spacing w:after="0"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‘2000 Regime’: </w:t>
      </w:r>
      <w:r w:rsidRPr="002C3444">
        <w:rPr>
          <w:rFonts w:ascii="Times New Roman" w:hAnsi="Times New Roman" w:cs="Times New Roman"/>
          <w:sz w:val="24"/>
          <w:szCs w:val="24"/>
          <w:u w:val="single"/>
        </w:rPr>
        <w:t>Child Support, Pensions and Social Security Act 2000</w:t>
      </w:r>
      <w:r w:rsidRPr="002C3444">
        <w:rPr>
          <w:rFonts w:ascii="Times New Roman" w:hAnsi="Times New Roman" w:cs="Times New Roman"/>
          <w:sz w:val="24"/>
          <w:szCs w:val="24"/>
        </w:rPr>
        <w:t xml:space="preserve"> in effect from 3.3.03</w:t>
      </w:r>
      <w:r w:rsidRPr="002C3444">
        <w:rPr>
          <w:rFonts w:ascii="Times New Roman" w:hAnsi="Times New Roman" w:cs="Times New Roman"/>
          <w:sz w:val="24"/>
          <w:szCs w:val="24"/>
          <w:vertAlign w:val="superscript"/>
        </w:rPr>
        <w:footnoteReference w:id="50"/>
      </w:r>
      <w:r w:rsidRPr="002C3444">
        <w:rPr>
          <w:rFonts w:ascii="Times New Roman" w:hAnsi="Times New Roman" w:cs="Times New Roman"/>
          <w:sz w:val="24"/>
          <w:szCs w:val="24"/>
        </w:rPr>
        <w:t>; based around 25%, 20%, 15% bands – more readily understandable, predictable but still extremely expensive: i.e. in 2010-11, £1.15b collected against cost to Exchequer of £575m;</w:t>
      </w:r>
    </w:p>
    <w:p w:rsidR="00070003" w:rsidRPr="002C3444" w:rsidRDefault="00070003" w:rsidP="00070003">
      <w:pPr>
        <w:spacing w:after="0" w:line="360" w:lineRule="auto"/>
        <w:ind w:left="1800"/>
        <w:contextualSpacing/>
        <w:jc w:val="both"/>
        <w:rPr>
          <w:rFonts w:ascii="Times New Roman" w:hAnsi="Times New Roman" w:cs="Times New Roman"/>
          <w:sz w:val="24"/>
          <w:szCs w:val="24"/>
        </w:rPr>
      </w:pPr>
    </w:p>
    <w:p w:rsidR="00070003" w:rsidRPr="002C3444" w:rsidRDefault="00070003" w:rsidP="00070003">
      <w:pPr>
        <w:numPr>
          <w:ilvl w:val="0"/>
          <w:numId w:val="12"/>
        </w:numPr>
        <w:spacing w:after="0"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Putative ‘2008 Regime’: </w:t>
      </w:r>
      <w:r w:rsidRPr="002C3444">
        <w:rPr>
          <w:rFonts w:ascii="Times New Roman" w:hAnsi="Times New Roman" w:cs="Times New Roman"/>
          <w:sz w:val="24"/>
          <w:szCs w:val="24"/>
          <w:u w:val="single"/>
        </w:rPr>
        <w:t>Child Maintenance and Other Payments Act 2008</w:t>
      </w:r>
      <w:r w:rsidRPr="002C3444">
        <w:rPr>
          <w:rFonts w:ascii="Times New Roman" w:hAnsi="Times New Roman" w:cs="Times New Roman"/>
          <w:sz w:val="24"/>
          <w:szCs w:val="24"/>
        </w:rPr>
        <w:t xml:space="preserve"> which until recently had only been part-implemented, i.e.</w:t>
      </w:r>
    </w:p>
    <w:p w:rsidR="00070003" w:rsidRPr="002C3444" w:rsidRDefault="00070003" w:rsidP="00070003">
      <w:pPr>
        <w:numPr>
          <w:ilvl w:val="0"/>
          <w:numId w:val="13"/>
        </w:numPr>
        <w:spacing w:after="0"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Set up the Child Maintenance and Enforcement Commission (C-MEC) was introduced) with the objective of promoting parental consensus over the excessive costs of the CSA (NB in terms of cutting costs, not wholly successfully);</w:t>
      </w:r>
    </w:p>
    <w:p w:rsidR="00070003" w:rsidRPr="002C3444" w:rsidRDefault="00070003" w:rsidP="00070003">
      <w:pPr>
        <w:numPr>
          <w:ilvl w:val="0"/>
          <w:numId w:val="13"/>
        </w:numPr>
        <w:spacing w:after="0"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abolished the coercive provisions in the 1991 Act requiring parents on benefit to apply (i.e. 1991 Act s.6, 46) </w:t>
      </w:r>
    </w:p>
    <w:p w:rsidR="00070003" w:rsidRPr="002C3444" w:rsidRDefault="00070003" w:rsidP="00070003">
      <w:pPr>
        <w:spacing w:after="0" w:line="360" w:lineRule="auto"/>
        <w:ind w:left="2160"/>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…but otherwise, </w:t>
      </w:r>
      <w:r w:rsidRPr="002C3444">
        <w:rPr>
          <w:rFonts w:ascii="Times New Roman" w:hAnsi="Times New Roman" w:cs="Times New Roman"/>
          <w:sz w:val="24"/>
          <w:szCs w:val="24"/>
          <w:u w:val="single"/>
        </w:rPr>
        <w:t>until recently</w:t>
      </w:r>
      <w:r w:rsidRPr="002C3444">
        <w:rPr>
          <w:rFonts w:ascii="Times New Roman" w:hAnsi="Times New Roman" w:cs="Times New Roman"/>
          <w:sz w:val="24"/>
          <w:szCs w:val="24"/>
        </w:rPr>
        <w:t xml:space="preserve"> the 2008 Regime lay largely unimplemented.</w:t>
      </w:r>
    </w:p>
    <w:p w:rsidR="00070003" w:rsidRPr="002C3444" w:rsidRDefault="00070003" w:rsidP="00070003">
      <w:pPr>
        <w:spacing w:line="360" w:lineRule="auto"/>
        <w:ind w:left="1800"/>
        <w:contextualSpacing/>
        <w:jc w:val="both"/>
        <w:rPr>
          <w:rFonts w:ascii="Times New Roman" w:hAnsi="Times New Roman" w:cs="Times New Roman"/>
          <w:sz w:val="24"/>
          <w:szCs w:val="24"/>
        </w:rPr>
      </w:pPr>
    </w:p>
    <w:p w:rsidR="00070003" w:rsidRPr="002C3444" w:rsidRDefault="00070003" w:rsidP="002B1E45">
      <w:pPr>
        <w:numPr>
          <w:ilvl w:val="0"/>
          <w:numId w:val="2"/>
        </w:numPr>
        <w:spacing w:after="0"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Where are we </w:t>
      </w:r>
      <w:r w:rsidRPr="002B1E45">
        <w:rPr>
          <w:rFonts w:ascii="Times New Roman" w:hAnsi="Times New Roman" w:cs="Times New Roman"/>
          <w:sz w:val="24"/>
          <w:szCs w:val="24"/>
        </w:rPr>
        <w:t>now</w:t>
      </w:r>
      <w:r w:rsidRPr="002C3444">
        <w:rPr>
          <w:rFonts w:ascii="Times New Roman" w:hAnsi="Times New Roman" w:cs="Times New Roman"/>
          <w:sz w:val="24"/>
          <w:szCs w:val="24"/>
        </w:rPr>
        <w:t>?</w:t>
      </w:r>
    </w:p>
    <w:p w:rsidR="00070003" w:rsidRPr="002C3444" w:rsidRDefault="00070003" w:rsidP="00070003">
      <w:pPr>
        <w:numPr>
          <w:ilvl w:val="0"/>
          <w:numId w:val="9"/>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C-MEC was abolished on 30.7.12 as part of the Coalition Government’s bonfire of the quangos. Its powers have been subsumed into the Department of Work and Pensions under the Child Maintenance Service;</w:t>
      </w:r>
    </w:p>
    <w:p w:rsidR="00070003" w:rsidRPr="002C3444" w:rsidRDefault="00070003" w:rsidP="00070003">
      <w:pPr>
        <w:numPr>
          <w:ilvl w:val="0"/>
          <w:numId w:val="9"/>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The upper-age limit of a child in full-time education was raised from 19 to 20 (to bring this in line with Child Benefit), effective July 2012;</w:t>
      </w:r>
    </w:p>
    <w:p w:rsidR="00070003" w:rsidRPr="002C3444" w:rsidRDefault="00070003" w:rsidP="00070003">
      <w:pPr>
        <w:numPr>
          <w:ilvl w:val="0"/>
          <w:numId w:val="9"/>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In July 2012 the Government published a DWP consultation exercise (“Supporting Separated Families…” which concluded</w:t>
      </w:r>
      <w:r w:rsidRPr="002C3444">
        <w:rPr>
          <w:rFonts w:ascii="Times New Roman" w:hAnsi="Times New Roman" w:cs="Times New Roman"/>
          <w:sz w:val="24"/>
          <w:szCs w:val="24"/>
          <w:vertAlign w:val="superscript"/>
        </w:rPr>
        <w:footnoteReference w:id="51"/>
      </w:r>
      <w:r w:rsidRPr="002C3444">
        <w:rPr>
          <w:rFonts w:ascii="Times New Roman" w:hAnsi="Times New Roman" w:cs="Times New Roman"/>
          <w:sz w:val="24"/>
          <w:szCs w:val="24"/>
        </w:rPr>
        <w:t xml:space="preserve">: </w:t>
      </w:r>
    </w:p>
    <w:p w:rsidR="00070003" w:rsidRPr="002C3444" w:rsidRDefault="00070003" w:rsidP="00070003">
      <w:pPr>
        <w:numPr>
          <w:ilvl w:val="0"/>
          <w:numId w:val="11"/>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the best outcome (also, coincidentally, the cheapest for the State…) is “…for parents to make a collaborative family-based maintenance arrangement”</w:t>
      </w:r>
    </w:p>
    <w:p w:rsidR="00070003" w:rsidRPr="002C3444" w:rsidRDefault="00070003" w:rsidP="00070003">
      <w:pPr>
        <w:numPr>
          <w:ilvl w:val="0"/>
          <w:numId w:val="11"/>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Where this is not possible, the new “Child Maintenance Service” will provide an efficient service with “a robust collection service”;</w:t>
      </w:r>
    </w:p>
    <w:p w:rsidR="00070003" w:rsidRPr="002C3444" w:rsidRDefault="00070003" w:rsidP="00070003">
      <w:pPr>
        <w:numPr>
          <w:ilvl w:val="0"/>
          <w:numId w:val="11"/>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Thereby representing a ‘clean break’ from the past.</w:t>
      </w:r>
    </w:p>
    <w:p w:rsidR="00070003" w:rsidRPr="002C3444" w:rsidRDefault="00070003" w:rsidP="00070003">
      <w:pPr>
        <w:numPr>
          <w:ilvl w:val="0"/>
          <w:numId w:val="9"/>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Parents now have three “options”: 1) make their own private arrangements, 2) invite the court to make a consent order (NB limits on </w:t>
      </w:r>
      <w:r w:rsidRPr="002C3444">
        <w:rPr>
          <w:rFonts w:ascii="Times New Roman" w:hAnsi="Times New Roman" w:cs="Times New Roman"/>
          <w:sz w:val="24"/>
          <w:szCs w:val="24"/>
        </w:rPr>
        <w:lastRenderedPageBreak/>
        <w:t>jurisdiction unless agreed) or 3) to apply to use the statutory scheme, albeit with the following changes:</w:t>
      </w:r>
    </w:p>
    <w:p w:rsidR="00070003" w:rsidRPr="002C3444" w:rsidRDefault="00070003" w:rsidP="00070003">
      <w:pPr>
        <w:numPr>
          <w:ilvl w:val="0"/>
          <w:numId w:val="14"/>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An applicant will have a “gateway conversation” before using the statutory scheme (aka discouragement) </w:t>
      </w:r>
    </w:p>
    <w:p w:rsidR="00070003" w:rsidRPr="002C3444" w:rsidRDefault="00070003" w:rsidP="00070003">
      <w:pPr>
        <w:numPr>
          <w:ilvl w:val="0"/>
          <w:numId w:val="14"/>
        </w:numPr>
        <w:spacing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 xml:space="preserve">There are plans to introduce application fees on both parents with 7% deducted from each payment and collection fees. </w:t>
      </w:r>
    </w:p>
    <w:p w:rsidR="00070003" w:rsidRPr="002C3444" w:rsidRDefault="00070003" w:rsidP="00070003">
      <w:pPr>
        <w:spacing w:line="360" w:lineRule="auto"/>
        <w:ind w:left="720"/>
        <w:contextualSpacing/>
        <w:jc w:val="both"/>
        <w:rPr>
          <w:rFonts w:ascii="Times New Roman" w:hAnsi="Times New Roman" w:cs="Times New Roman"/>
          <w:sz w:val="24"/>
          <w:szCs w:val="24"/>
        </w:rPr>
      </w:pPr>
    </w:p>
    <w:p w:rsidR="00070003" w:rsidRPr="002C3444" w:rsidRDefault="00070003" w:rsidP="002B1E45">
      <w:pPr>
        <w:numPr>
          <w:ilvl w:val="0"/>
          <w:numId w:val="2"/>
        </w:numPr>
        <w:spacing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Most significantly, the calculation rules have finally been brought into effect as at 10</w:t>
      </w:r>
      <w:r w:rsidRPr="002C3444">
        <w:rPr>
          <w:rFonts w:ascii="Times New Roman" w:hAnsi="Times New Roman" w:cs="Times New Roman"/>
          <w:sz w:val="24"/>
          <w:szCs w:val="24"/>
          <w:vertAlign w:val="superscript"/>
        </w:rPr>
        <w:t>th</w:t>
      </w:r>
      <w:r w:rsidRPr="002C3444">
        <w:rPr>
          <w:rFonts w:ascii="Times New Roman" w:hAnsi="Times New Roman" w:cs="Times New Roman"/>
          <w:sz w:val="24"/>
          <w:szCs w:val="24"/>
        </w:rPr>
        <w:t xml:space="preserve"> December 2012 by virtue of the </w:t>
      </w:r>
      <w:r w:rsidRPr="002C3444">
        <w:rPr>
          <w:rFonts w:ascii="Times New Roman" w:hAnsi="Times New Roman" w:cs="Times New Roman"/>
          <w:sz w:val="24"/>
          <w:szCs w:val="24"/>
          <w:u w:val="single"/>
        </w:rPr>
        <w:t>Child Maintenance and Other Payments Act 2008 (Commencement No. 10 and Transitional Provisions) Order 2012</w:t>
      </w:r>
      <w:r w:rsidRPr="002C3444">
        <w:rPr>
          <w:rFonts w:ascii="Times New Roman" w:hAnsi="Times New Roman" w:cs="Times New Roman"/>
          <w:sz w:val="24"/>
          <w:szCs w:val="24"/>
          <w:vertAlign w:val="superscript"/>
        </w:rPr>
        <w:footnoteReference w:id="52"/>
      </w:r>
      <w:r w:rsidRPr="002C3444">
        <w:rPr>
          <w:rFonts w:ascii="Times New Roman" w:hAnsi="Times New Roman" w:cs="Times New Roman"/>
          <w:sz w:val="24"/>
          <w:szCs w:val="24"/>
        </w:rPr>
        <w:t>. These are based around the payer’s gross income (enabling the relevant data to be obtained more simply from HMRC). As to how this formula works, see the following extract from an article by David Burrows:</w:t>
      </w:r>
    </w:p>
    <w:p w:rsidR="00070003" w:rsidRPr="002C3444" w:rsidRDefault="00070003" w:rsidP="00070003">
      <w:pPr>
        <w:spacing w:before="100" w:beforeAutospacing="1" w:after="100" w:afterAutospacing="1" w:line="240" w:lineRule="auto"/>
        <w:ind w:left="1440" w:right="566"/>
        <w:jc w:val="both"/>
        <w:rPr>
          <w:rFonts w:ascii="Times New Roman" w:eastAsia="Times New Roman" w:hAnsi="Times New Roman" w:cs="Times New Roman"/>
          <w:color w:val="000000"/>
          <w:sz w:val="21"/>
          <w:szCs w:val="21"/>
        </w:rPr>
      </w:pPr>
      <w:r w:rsidRPr="002C3444">
        <w:rPr>
          <w:rFonts w:ascii="Times New Roman" w:eastAsia="Times New Roman" w:hAnsi="Times New Roman" w:cs="Times New Roman"/>
          <w:color w:val="000000"/>
          <w:sz w:val="21"/>
          <w:szCs w:val="21"/>
        </w:rPr>
        <w:t>“…a two-stepped arrangement is introduced: </w:t>
      </w:r>
    </w:p>
    <w:p w:rsidR="00070003" w:rsidRPr="002C3444" w:rsidRDefault="00070003" w:rsidP="00070003">
      <w:pPr>
        <w:spacing w:before="100" w:beforeAutospacing="1" w:after="100" w:afterAutospacing="1" w:line="240" w:lineRule="auto"/>
        <w:ind w:left="1440" w:right="566"/>
        <w:jc w:val="both"/>
        <w:rPr>
          <w:rFonts w:ascii="Times New Roman" w:eastAsia="Times New Roman" w:hAnsi="Times New Roman" w:cs="Times New Roman"/>
          <w:color w:val="000000"/>
          <w:sz w:val="21"/>
          <w:szCs w:val="21"/>
        </w:rPr>
      </w:pPr>
      <w:r w:rsidRPr="002C3444">
        <w:rPr>
          <w:rFonts w:ascii="Times New Roman" w:eastAsia="Times New Roman" w:hAnsi="Times New Roman" w:cs="Times New Roman"/>
          <w:color w:val="000000"/>
          <w:sz w:val="21"/>
          <w:szCs w:val="21"/>
        </w:rPr>
        <w:t>- </w:t>
      </w:r>
      <w:proofErr w:type="gramStart"/>
      <w:r w:rsidRPr="002C3444">
        <w:rPr>
          <w:rFonts w:ascii="Times New Roman" w:eastAsia="Times New Roman" w:hAnsi="Times New Roman" w:cs="Times New Roman"/>
          <w:color w:val="000000"/>
          <w:sz w:val="21"/>
          <w:szCs w:val="21"/>
        </w:rPr>
        <w:t>up</w:t>
      </w:r>
      <w:proofErr w:type="gramEnd"/>
      <w:r w:rsidRPr="002C3444">
        <w:rPr>
          <w:rFonts w:ascii="Times New Roman" w:eastAsia="Times New Roman" w:hAnsi="Times New Roman" w:cs="Times New Roman"/>
          <w:color w:val="000000"/>
          <w:sz w:val="21"/>
          <w:szCs w:val="21"/>
        </w:rPr>
        <w:t xml:space="preserve"> to £800 per week gross income the amounts are calculated at 12%, 16% and 19% of gross income (para 3: </w:t>
      </w:r>
      <w:proofErr w:type="spellStart"/>
      <w:r w:rsidRPr="002C3444">
        <w:rPr>
          <w:rFonts w:ascii="Times New Roman" w:eastAsia="Times New Roman" w:hAnsi="Times New Roman" w:cs="Times New Roman"/>
          <w:color w:val="000000"/>
          <w:sz w:val="21"/>
          <w:szCs w:val="21"/>
        </w:rPr>
        <w:t>Sch</w:t>
      </w:r>
      <w:proofErr w:type="spellEnd"/>
      <w:r w:rsidRPr="002C3444">
        <w:rPr>
          <w:rFonts w:ascii="Times New Roman" w:eastAsia="Times New Roman" w:hAnsi="Times New Roman" w:cs="Times New Roman"/>
          <w:color w:val="000000"/>
          <w:sz w:val="21"/>
          <w:szCs w:val="21"/>
        </w:rPr>
        <w:t xml:space="preserve"> 1 para 2(1) as amended). </w:t>
      </w:r>
      <w:r w:rsidRPr="002C3444">
        <w:rPr>
          <w:rFonts w:ascii="Times New Roman" w:eastAsia="Times New Roman" w:hAnsi="Times New Roman" w:cs="Times New Roman"/>
          <w:color w:val="000000"/>
          <w:sz w:val="21"/>
          <w:szCs w:val="21"/>
        </w:rPr>
        <w:br/>
        <w:t>- </w:t>
      </w:r>
      <w:proofErr w:type="gramStart"/>
      <w:r w:rsidRPr="002C3444">
        <w:rPr>
          <w:rFonts w:ascii="Times New Roman" w:eastAsia="Times New Roman" w:hAnsi="Times New Roman" w:cs="Times New Roman"/>
          <w:color w:val="000000"/>
          <w:sz w:val="21"/>
          <w:szCs w:val="21"/>
        </w:rPr>
        <w:t>to</w:t>
      </w:r>
      <w:proofErr w:type="gramEnd"/>
      <w:r w:rsidRPr="002C3444">
        <w:rPr>
          <w:rFonts w:ascii="Times New Roman" w:eastAsia="Times New Roman" w:hAnsi="Times New Roman" w:cs="Times New Roman"/>
          <w:color w:val="000000"/>
          <w:sz w:val="21"/>
          <w:szCs w:val="21"/>
        </w:rPr>
        <w:t xml:space="preserve"> cover higher rate tax-payers, the amount of gross income between £800 and £3,000 (the new top rate of gross income: new </w:t>
      </w:r>
      <w:proofErr w:type="spellStart"/>
      <w:r w:rsidRPr="002C3444">
        <w:rPr>
          <w:rFonts w:ascii="Times New Roman" w:eastAsia="Times New Roman" w:hAnsi="Times New Roman" w:cs="Times New Roman"/>
          <w:color w:val="000000"/>
          <w:sz w:val="21"/>
          <w:szCs w:val="21"/>
        </w:rPr>
        <w:t>Sch</w:t>
      </w:r>
      <w:proofErr w:type="spellEnd"/>
      <w:r w:rsidRPr="002C3444">
        <w:rPr>
          <w:rFonts w:ascii="Times New Roman" w:eastAsia="Times New Roman" w:hAnsi="Times New Roman" w:cs="Times New Roman"/>
          <w:color w:val="000000"/>
          <w:sz w:val="21"/>
          <w:szCs w:val="21"/>
        </w:rPr>
        <w:t xml:space="preserve"> 1 para 10(3)) is calculated at 9%, 12% and 15% (now </w:t>
      </w:r>
      <w:proofErr w:type="spellStart"/>
      <w:r w:rsidRPr="002C3444">
        <w:rPr>
          <w:rFonts w:ascii="Times New Roman" w:eastAsia="Times New Roman" w:hAnsi="Times New Roman" w:cs="Times New Roman"/>
          <w:color w:val="000000"/>
          <w:sz w:val="21"/>
          <w:szCs w:val="21"/>
        </w:rPr>
        <w:t>Sch</w:t>
      </w:r>
      <w:proofErr w:type="spellEnd"/>
      <w:r w:rsidRPr="002C3444">
        <w:rPr>
          <w:rFonts w:ascii="Times New Roman" w:eastAsia="Times New Roman" w:hAnsi="Times New Roman" w:cs="Times New Roman"/>
          <w:color w:val="000000"/>
          <w:sz w:val="21"/>
          <w:szCs w:val="21"/>
        </w:rPr>
        <w:t xml:space="preserve"> 1 para 2(2))</w:t>
      </w:r>
    </w:p>
    <w:p w:rsidR="00070003" w:rsidRPr="002C3444" w:rsidRDefault="00070003" w:rsidP="00070003">
      <w:pPr>
        <w:spacing w:before="100" w:beforeAutospacing="1" w:after="100" w:afterAutospacing="1" w:line="240" w:lineRule="auto"/>
        <w:ind w:left="1440" w:right="566"/>
        <w:jc w:val="both"/>
        <w:rPr>
          <w:rFonts w:ascii="Times New Roman" w:eastAsia="Times New Roman" w:hAnsi="Times New Roman" w:cs="Times New Roman"/>
          <w:color w:val="000000"/>
          <w:sz w:val="21"/>
          <w:szCs w:val="21"/>
        </w:rPr>
      </w:pPr>
      <w:proofErr w:type="gramStart"/>
      <w:r w:rsidRPr="002C3444">
        <w:rPr>
          <w:rFonts w:ascii="Times New Roman" w:eastAsia="Times New Roman" w:hAnsi="Times New Roman" w:cs="Times New Roman"/>
          <w:color w:val="000000"/>
          <w:sz w:val="21"/>
          <w:szCs w:val="21"/>
        </w:rPr>
        <w:t>for</w:t>
      </w:r>
      <w:proofErr w:type="gramEnd"/>
      <w:r w:rsidRPr="002C3444">
        <w:rPr>
          <w:rFonts w:ascii="Times New Roman" w:eastAsia="Times New Roman" w:hAnsi="Times New Roman" w:cs="Times New Roman"/>
          <w:color w:val="000000"/>
          <w:sz w:val="21"/>
          <w:szCs w:val="21"/>
        </w:rPr>
        <w:t xml:space="preserve"> relevant other children the reduction of gross income before calculation remains, across all incomes, at 12%, 16% and 19% (</w:t>
      </w:r>
      <w:proofErr w:type="spellStart"/>
      <w:r w:rsidRPr="002C3444">
        <w:rPr>
          <w:rFonts w:ascii="Times New Roman" w:eastAsia="Times New Roman" w:hAnsi="Times New Roman" w:cs="Times New Roman"/>
          <w:color w:val="000000"/>
          <w:sz w:val="21"/>
          <w:szCs w:val="21"/>
        </w:rPr>
        <w:t>Sch</w:t>
      </w:r>
      <w:proofErr w:type="spellEnd"/>
      <w:r w:rsidRPr="002C3444">
        <w:rPr>
          <w:rFonts w:ascii="Times New Roman" w:eastAsia="Times New Roman" w:hAnsi="Times New Roman" w:cs="Times New Roman"/>
          <w:color w:val="000000"/>
          <w:sz w:val="21"/>
          <w:szCs w:val="21"/>
        </w:rPr>
        <w:t xml:space="preserve"> 1 para 2(3))</w:t>
      </w:r>
    </w:p>
    <w:p w:rsidR="00070003" w:rsidRPr="002C3444" w:rsidRDefault="00070003" w:rsidP="00070003">
      <w:pPr>
        <w:spacing w:before="100" w:beforeAutospacing="1" w:after="100" w:afterAutospacing="1" w:line="240" w:lineRule="auto"/>
        <w:ind w:left="1440" w:right="566"/>
        <w:jc w:val="both"/>
        <w:rPr>
          <w:rFonts w:ascii="Times New Roman" w:eastAsia="Times New Roman" w:hAnsi="Times New Roman" w:cs="Times New Roman"/>
          <w:color w:val="000000"/>
          <w:sz w:val="21"/>
          <w:szCs w:val="21"/>
        </w:rPr>
      </w:pPr>
      <w:proofErr w:type="gramStart"/>
      <w:r w:rsidRPr="002C3444">
        <w:rPr>
          <w:rFonts w:ascii="Times New Roman" w:eastAsia="Times New Roman" w:hAnsi="Times New Roman" w:cs="Times New Roman"/>
          <w:color w:val="000000"/>
          <w:sz w:val="21"/>
          <w:szCs w:val="21"/>
        </w:rPr>
        <w:t>the</w:t>
      </w:r>
      <w:proofErr w:type="gramEnd"/>
      <w:r w:rsidRPr="002C3444">
        <w:rPr>
          <w:rFonts w:ascii="Times New Roman" w:eastAsia="Times New Roman" w:hAnsi="Times New Roman" w:cs="Times New Roman"/>
          <w:color w:val="000000"/>
          <w:sz w:val="21"/>
          <w:szCs w:val="21"/>
        </w:rPr>
        <w:t xml:space="preserve"> flat rate amount is increased from £5 to £7, where income is less than £100 (</w:t>
      </w:r>
      <w:proofErr w:type="spellStart"/>
      <w:r w:rsidRPr="002C3444">
        <w:rPr>
          <w:rFonts w:ascii="Times New Roman" w:eastAsia="Times New Roman" w:hAnsi="Times New Roman" w:cs="Times New Roman"/>
          <w:color w:val="000000"/>
          <w:sz w:val="21"/>
          <w:szCs w:val="21"/>
        </w:rPr>
        <w:t>Sch</w:t>
      </w:r>
      <w:proofErr w:type="spellEnd"/>
      <w:r w:rsidRPr="002C3444">
        <w:rPr>
          <w:rFonts w:ascii="Times New Roman" w:eastAsia="Times New Roman" w:hAnsi="Times New Roman" w:cs="Times New Roman"/>
          <w:color w:val="000000"/>
          <w:sz w:val="21"/>
          <w:szCs w:val="21"/>
        </w:rPr>
        <w:t xml:space="preserve"> 1 paras 3(3) and 4(1))</w:t>
      </w:r>
    </w:p>
    <w:p w:rsidR="00070003" w:rsidRPr="002C3444" w:rsidRDefault="00070003" w:rsidP="00070003">
      <w:pPr>
        <w:spacing w:before="100" w:beforeAutospacing="1" w:after="100" w:afterAutospacing="1" w:line="240" w:lineRule="auto"/>
        <w:ind w:left="1440" w:right="566"/>
        <w:jc w:val="both"/>
        <w:rPr>
          <w:rFonts w:ascii="Times New Roman" w:eastAsia="Times New Roman" w:hAnsi="Times New Roman" w:cs="Times New Roman"/>
          <w:color w:val="000000"/>
          <w:sz w:val="21"/>
          <w:szCs w:val="21"/>
        </w:rPr>
      </w:pPr>
      <w:r w:rsidRPr="002C3444">
        <w:rPr>
          <w:rFonts w:ascii="Times New Roman" w:eastAsia="Times New Roman" w:hAnsi="Times New Roman" w:cs="Times New Roman"/>
          <w:color w:val="000000"/>
          <w:sz w:val="21"/>
          <w:szCs w:val="21"/>
        </w:rPr>
        <w:t xml:space="preserve">a new </w:t>
      </w:r>
      <w:proofErr w:type="spellStart"/>
      <w:r w:rsidRPr="002C3444">
        <w:rPr>
          <w:rFonts w:ascii="Times New Roman" w:eastAsia="Times New Roman" w:hAnsi="Times New Roman" w:cs="Times New Roman"/>
          <w:color w:val="000000"/>
          <w:sz w:val="21"/>
          <w:szCs w:val="21"/>
        </w:rPr>
        <w:t>Sch</w:t>
      </w:r>
      <w:proofErr w:type="spellEnd"/>
      <w:r w:rsidRPr="002C3444">
        <w:rPr>
          <w:rFonts w:ascii="Times New Roman" w:eastAsia="Times New Roman" w:hAnsi="Times New Roman" w:cs="Times New Roman"/>
          <w:color w:val="000000"/>
          <w:sz w:val="21"/>
          <w:szCs w:val="21"/>
        </w:rPr>
        <w:t xml:space="preserve"> 1 para 5A is inserted into the 1991 Act to provide for division of basic or reduced rate payments between qualifying children who are subject to a maintenance order or agreement”</w:t>
      </w:r>
      <w:r w:rsidRPr="002C3444">
        <w:rPr>
          <w:rFonts w:ascii="Times New Roman" w:eastAsia="Times New Roman" w:hAnsi="Times New Roman" w:cs="Times New Roman"/>
          <w:color w:val="000000"/>
          <w:sz w:val="21"/>
          <w:szCs w:val="21"/>
          <w:vertAlign w:val="superscript"/>
        </w:rPr>
        <w:footnoteReference w:id="53"/>
      </w:r>
    </w:p>
    <w:p w:rsidR="00070003" w:rsidRPr="002C3444" w:rsidRDefault="00070003" w:rsidP="00070003">
      <w:pPr>
        <w:spacing w:line="360" w:lineRule="auto"/>
        <w:ind w:left="1800"/>
        <w:contextualSpacing/>
        <w:jc w:val="both"/>
        <w:rPr>
          <w:rFonts w:ascii="Times New Roman" w:hAnsi="Times New Roman" w:cs="Times New Roman"/>
          <w:sz w:val="24"/>
          <w:szCs w:val="24"/>
        </w:rPr>
      </w:pPr>
    </w:p>
    <w:p w:rsidR="00070003" w:rsidRPr="002C3444" w:rsidRDefault="00070003" w:rsidP="002B1E45">
      <w:pPr>
        <w:numPr>
          <w:ilvl w:val="0"/>
          <w:numId w:val="2"/>
        </w:numPr>
        <w:spacing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The new rules are to be gradually phased in, applying currently only to new applications made after 10.12.12 which relate to at least four qualifying children</w:t>
      </w:r>
      <w:r w:rsidRPr="002C3444">
        <w:rPr>
          <w:rFonts w:ascii="Times New Roman" w:hAnsi="Times New Roman" w:cs="Times New Roman"/>
          <w:sz w:val="24"/>
          <w:szCs w:val="24"/>
          <w:vertAlign w:val="superscript"/>
        </w:rPr>
        <w:footnoteReference w:id="54"/>
      </w:r>
      <w:r w:rsidRPr="002C3444">
        <w:rPr>
          <w:rFonts w:ascii="Times New Roman" w:hAnsi="Times New Roman" w:cs="Times New Roman"/>
          <w:sz w:val="24"/>
          <w:szCs w:val="24"/>
        </w:rPr>
        <w:t>.</w:t>
      </w:r>
    </w:p>
    <w:p w:rsidR="00070003" w:rsidRPr="002C3444" w:rsidRDefault="00070003" w:rsidP="00070003">
      <w:pPr>
        <w:spacing w:line="360" w:lineRule="auto"/>
        <w:ind w:left="1800"/>
        <w:contextualSpacing/>
        <w:jc w:val="both"/>
        <w:rPr>
          <w:rFonts w:ascii="Times New Roman" w:hAnsi="Times New Roman" w:cs="Times New Roman"/>
          <w:sz w:val="24"/>
          <w:szCs w:val="24"/>
        </w:rPr>
      </w:pPr>
    </w:p>
    <w:p w:rsidR="00070003" w:rsidRPr="002C3444" w:rsidRDefault="00070003" w:rsidP="00070003">
      <w:pPr>
        <w:spacing w:line="360" w:lineRule="auto"/>
        <w:ind w:left="720"/>
        <w:contextualSpacing/>
        <w:jc w:val="both"/>
        <w:rPr>
          <w:rFonts w:ascii="Times New Roman" w:hAnsi="Times New Roman" w:cs="Times New Roman"/>
          <w:sz w:val="24"/>
          <w:szCs w:val="24"/>
        </w:rPr>
      </w:pPr>
    </w:p>
    <w:p w:rsidR="00070003" w:rsidRPr="002C3444" w:rsidRDefault="00070003" w:rsidP="00070003">
      <w:pPr>
        <w:spacing w:after="0" w:line="360" w:lineRule="auto"/>
        <w:contextualSpacing/>
        <w:jc w:val="both"/>
        <w:rPr>
          <w:rFonts w:ascii="Times New Roman" w:hAnsi="Times New Roman" w:cs="Times New Roman"/>
          <w:sz w:val="24"/>
          <w:szCs w:val="24"/>
          <w:u w:val="single"/>
        </w:rPr>
      </w:pPr>
      <w:r w:rsidRPr="002C3444">
        <w:rPr>
          <w:rFonts w:ascii="Times New Roman" w:hAnsi="Times New Roman" w:cs="Times New Roman"/>
          <w:sz w:val="24"/>
          <w:szCs w:val="24"/>
          <w:u w:val="single"/>
        </w:rPr>
        <w:t>NB: the coming of Universal Credit</w:t>
      </w:r>
    </w:p>
    <w:p w:rsidR="00070003" w:rsidRPr="002C3444" w:rsidRDefault="00070003" w:rsidP="002B1E45">
      <w:pPr>
        <w:numPr>
          <w:ilvl w:val="0"/>
          <w:numId w:val="2"/>
        </w:numPr>
        <w:spacing w:after="0"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One of the most critical changes in the law – more significant in ancillary relief/ financial orders rather than Sch. 1 – is the dawn of Universal Credit this autumn:</w:t>
      </w:r>
    </w:p>
    <w:p w:rsidR="00070003" w:rsidRPr="002C3444" w:rsidRDefault="00070003" w:rsidP="00070003">
      <w:pPr>
        <w:numPr>
          <w:ilvl w:val="0"/>
          <w:numId w:val="10"/>
        </w:numPr>
        <w:spacing w:after="0"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Regulation 66 of the draft</w:t>
      </w:r>
      <w:r w:rsidRPr="002C3444">
        <w:rPr>
          <w:rFonts w:ascii="Times New Roman" w:hAnsi="Times New Roman" w:cs="Times New Roman"/>
          <w:b/>
          <w:sz w:val="24"/>
          <w:szCs w:val="24"/>
        </w:rPr>
        <w:t xml:space="preserve"> </w:t>
      </w:r>
      <w:r w:rsidRPr="002C3444">
        <w:rPr>
          <w:rFonts w:ascii="Times New Roman" w:hAnsi="Times New Roman" w:cs="Times New Roman"/>
          <w:sz w:val="24"/>
          <w:szCs w:val="24"/>
          <w:u w:val="single"/>
        </w:rPr>
        <w:t>Universal Credit Regulations 2013</w:t>
      </w:r>
      <w:r w:rsidRPr="002C3444">
        <w:rPr>
          <w:rFonts w:ascii="Times New Roman" w:hAnsi="Times New Roman" w:cs="Times New Roman"/>
          <w:sz w:val="24"/>
          <w:szCs w:val="24"/>
          <w:u w:val="single"/>
          <w:vertAlign w:val="superscript"/>
        </w:rPr>
        <w:footnoteReference w:id="55"/>
      </w:r>
      <w:r w:rsidRPr="002C3444">
        <w:rPr>
          <w:rFonts w:ascii="Times New Roman" w:hAnsi="Times New Roman" w:cs="Times New Roman"/>
          <w:sz w:val="24"/>
          <w:szCs w:val="24"/>
        </w:rPr>
        <w:t xml:space="preserve"> includes spousal maintenance in the definition of unearned income (but not child maintenance) thereby reversing the current provision that spousal and child maintenance is excluded from assessment of tax credits</w:t>
      </w:r>
      <w:r w:rsidRPr="002C3444">
        <w:rPr>
          <w:rFonts w:ascii="Times New Roman" w:hAnsi="Times New Roman" w:cs="Times New Roman"/>
          <w:sz w:val="24"/>
          <w:szCs w:val="24"/>
          <w:vertAlign w:val="superscript"/>
        </w:rPr>
        <w:footnoteReference w:id="56"/>
      </w:r>
      <w:r w:rsidRPr="002C3444">
        <w:rPr>
          <w:rFonts w:ascii="Times New Roman" w:hAnsi="Times New Roman" w:cs="Times New Roman"/>
          <w:sz w:val="24"/>
          <w:szCs w:val="24"/>
        </w:rPr>
        <w:t>;</w:t>
      </w:r>
    </w:p>
    <w:p w:rsidR="00070003" w:rsidRPr="002C3444" w:rsidRDefault="00070003" w:rsidP="00070003">
      <w:pPr>
        <w:numPr>
          <w:ilvl w:val="0"/>
          <w:numId w:val="10"/>
        </w:numPr>
        <w:spacing w:after="0"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The move to UC is due to be phased in from 2014 to 2017</w:t>
      </w:r>
    </w:p>
    <w:p w:rsidR="00070003" w:rsidRPr="002C3444" w:rsidRDefault="00070003" w:rsidP="00070003">
      <w:pPr>
        <w:numPr>
          <w:ilvl w:val="0"/>
          <w:numId w:val="10"/>
        </w:numPr>
        <w:spacing w:after="0" w:line="360" w:lineRule="auto"/>
        <w:contextualSpacing/>
        <w:jc w:val="both"/>
        <w:rPr>
          <w:rFonts w:ascii="Times New Roman" w:hAnsi="Times New Roman" w:cs="Times New Roman"/>
          <w:sz w:val="24"/>
          <w:szCs w:val="24"/>
        </w:rPr>
      </w:pPr>
      <w:r w:rsidRPr="002C3444">
        <w:rPr>
          <w:rFonts w:ascii="Times New Roman" w:hAnsi="Times New Roman" w:cs="Times New Roman"/>
          <w:sz w:val="24"/>
          <w:szCs w:val="24"/>
        </w:rPr>
        <w:t>However the adverse impact of this change is insulated by proposed transitional provisions: “To ensure there are no cash losers as a direct result of the move to Universal Credit… the Government will provide transitional cash protection to claimants whose Universal Credit award would be less than it was under the old system”</w:t>
      </w:r>
      <w:r w:rsidRPr="002C3444">
        <w:rPr>
          <w:rFonts w:ascii="Times New Roman" w:hAnsi="Times New Roman" w:cs="Times New Roman"/>
          <w:sz w:val="24"/>
          <w:szCs w:val="24"/>
          <w:vertAlign w:val="superscript"/>
        </w:rPr>
        <w:footnoteReference w:id="57"/>
      </w:r>
    </w:p>
    <w:p w:rsidR="00070003" w:rsidRPr="002C3444" w:rsidRDefault="00070003" w:rsidP="00070003">
      <w:pPr>
        <w:jc w:val="both"/>
        <w:rPr>
          <w:rFonts w:ascii="Times New Roman" w:hAnsi="Times New Roman" w:cs="Times New Roman"/>
          <w:sz w:val="24"/>
          <w:szCs w:val="24"/>
        </w:rPr>
      </w:pPr>
    </w:p>
    <w:p w:rsidR="002C3444" w:rsidRPr="002C3444" w:rsidRDefault="002C3444" w:rsidP="002C3444">
      <w:pPr>
        <w:spacing w:line="360" w:lineRule="auto"/>
        <w:rPr>
          <w:rFonts w:ascii="Times New Roman" w:eastAsia="Times New Roman" w:hAnsi="Times New Roman" w:cs="Times New Roman"/>
          <w:b/>
          <w:i/>
          <w:sz w:val="24"/>
          <w:szCs w:val="24"/>
        </w:rPr>
      </w:pPr>
      <w:r w:rsidRPr="002C3444">
        <w:rPr>
          <w:rFonts w:ascii="Times New Roman" w:eastAsia="Times New Roman" w:hAnsi="Times New Roman" w:cs="Times New Roman"/>
          <w:b/>
          <w:sz w:val="24"/>
          <w:szCs w:val="24"/>
        </w:rPr>
        <w:t>INTERFACE WITH OTHER STATUTES</w:t>
      </w:r>
    </w:p>
    <w:p w:rsidR="00A051A1" w:rsidRPr="002C3444" w:rsidRDefault="00A051A1" w:rsidP="002B1E45">
      <w:pPr>
        <w:numPr>
          <w:ilvl w:val="0"/>
          <w:numId w:val="2"/>
        </w:numPr>
        <w:spacing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t>If there are other proceedings, e.g. MCA or TLATA, the application should be issued in the same court and consideration given for the proceedings to be consolidated or heard together</w:t>
      </w:r>
      <w:r w:rsidRPr="002C3444">
        <w:rPr>
          <w:rStyle w:val="FootnoteReference"/>
          <w:rFonts w:ascii="Times New Roman" w:hAnsi="Times New Roman" w:cs="Times New Roman"/>
          <w:sz w:val="24"/>
          <w:szCs w:val="24"/>
        </w:rPr>
        <w:footnoteReference w:id="58"/>
      </w:r>
      <w:r w:rsidRPr="002C3444">
        <w:rPr>
          <w:rFonts w:ascii="Times New Roman" w:hAnsi="Times New Roman" w:cs="Times New Roman"/>
          <w:sz w:val="24"/>
          <w:szCs w:val="24"/>
        </w:rPr>
        <w:t>. If there have been previous MCA proceedings, the application should be made in the same court that heard those proceedings</w:t>
      </w:r>
      <w:r w:rsidRPr="002C3444">
        <w:rPr>
          <w:rStyle w:val="FootnoteReference"/>
          <w:rFonts w:ascii="Times New Roman" w:hAnsi="Times New Roman" w:cs="Times New Roman"/>
          <w:sz w:val="24"/>
          <w:szCs w:val="24"/>
        </w:rPr>
        <w:footnoteReference w:id="59"/>
      </w:r>
      <w:r w:rsidRPr="002C3444">
        <w:rPr>
          <w:rFonts w:ascii="Times New Roman" w:hAnsi="Times New Roman" w:cs="Times New Roman"/>
          <w:sz w:val="24"/>
          <w:szCs w:val="24"/>
        </w:rPr>
        <w:t xml:space="preserve">. If there are proceedings in relation to the same subject children, such as residence/contact issues, then the application should be issued in the same court and should be dealt with by the same judge prior to the determination of the financial </w:t>
      </w:r>
      <w:r w:rsidRPr="002C3444">
        <w:rPr>
          <w:rFonts w:ascii="Times New Roman" w:hAnsi="Times New Roman" w:cs="Times New Roman"/>
          <w:sz w:val="24"/>
          <w:szCs w:val="24"/>
        </w:rPr>
        <w:lastRenderedPageBreak/>
        <w:t>aspects</w:t>
      </w:r>
      <w:r w:rsidRPr="002C3444">
        <w:rPr>
          <w:rStyle w:val="FootnoteReference"/>
          <w:rFonts w:ascii="Times New Roman" w:hAnsi="Times New Roman" w:cs="Times New Roman"/>
          <w:sz w:val="24"/>
          <w:szCs w:val="24"/>
        </w:rPr>
        <w:footnoteReference w:id="60"/>
      </w:r>
      <w:r w:rsidRPr="002C3444">
        <w:rPr>
          <w:rFonts w:ascii="Times New Roman" w:hAnsi="Times New Roman" w:cs="Times New Roman"/>
          <w:sz w:val="24"/>
          <w:szCs w:val="24"/>
        </w:rPr>
        <w:t>.  In limited circumstances it may be appropriate for the Children Act and financial aspects to be heard together, for example a discrete schooling issue and fees for such.</w:t>
      </w:r>
    </w:p>
    <w:p w:rsidR="00A051A1" w:rsidRDefault="00A051A1" w:rsidP="002C3444">
      <w:pPr>
        <w:pStyle w:val="ListParagraph"/>
        <w:spacing w:line="360" w:lineRule="auto"/>
        <w:ind w:left="0"/>
        <w:jc w:val="both"/>
        <w:rPr>
          <w:rFonts w:ascii="Times New Roman" w:eastAsia="Times New Roman" w:hAnsi="Times New Roman" w:cs="Times New Roman"/>
          <w:sz w:val="24"/>
          <w:szCs w:val="24"/>
          <w:u w:val="single"/>
        </w:rPr>
      </w:pPr>
    </w:p>
    <w:p w:rsidR="002C3444" w:rsidRPr="002C3444" w:rsidRDefault="002C3444" w:rsidP="002C3444">
      <w:pPr>
        <w:pStyle w:val="ListParagraph"/>
        <w:spacing w:line="360" w:lineRule="auto"/>
        <w:ind w:left="0"/>
        <w:jc w:val="both"/>
        <w:rPr>
          <w:rFonts w:ascii="Times New Roman" w:eastAsia="Times New Roman" w:hAnsi="Times New Roman" w:cs="Times New Roman"/>
          <w:sz w:val="24"/>
          <w:szCs w:val="24"/>
          <w:u w:val="single"/>
        </w:rPr>
      </w:pPr>
      <w:r w:rsidRPr="002C3444">
        <w:rPr>
          <w:rFonts w:ascii="Times New Roman" w:eastAsia="Times New Roman" w:hAnsi="Times New Roman" w:cs="Times New Roman"/>
          <w:sz w:val="24"/>
          <w:szCs w:val="24"/>
          <w:u w:val="single"/>
        </w:rPr>
        <w:t>Matrimonial Causes Act 1973</w:t>
      </w:r>
    </w:p>
    <w:p w:rsidR="002C3444" w:rsidRPr="002C3444" w:rsidRDefault="002C3444" w:rsidP="002B1E45">
      <w:pPr>
        <w:pStyle w:val="ListParagraph"/>
        <w:numPr>
          <w:ilvl w:val="0"/>
          <w:numId w:val="2"/>
        </w:numPr>
        <w:spacing w:line="360" w:lineRule="auto"/>
        <w:ind w:hanging="720"/>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There is little point in issuing a Sch. 1 claim where an application for ancillary relief/ financial orders is before the court: the broad discretion and wide powers of the MCA generally make it the ‘dominant statute’</w:t>
      </w:r>
      <w:r w:rsidRPr="002C3444">
        <w:rPr>
          <w:rStyle w:val="FootnoteReference"/>
          <w:rFonts w:ascii="Times New Roman" w:eastAsia="Times New Roman" w:hAnsi="Times New Roman" w:cs="Times New Roman"/>
          <w:sz w:val="24"/>
          <w:szCs w:val="24"/>
        </w:rPr>
        <w:footnoteReference w:id="61"/>
      </w:r>
    </w:p>
    <w:p w:rsidR="002C3444" w:rsidRPr="002C3444" w:rsidRDefault="002C3444" w:rsidP="002C3444">
      <w:pPr>
        <w:pStyle w:val="ListParagraph"/>
        <w:spacing w:line="360" w:lineRule="auto"/>
        <w:jc w:val="both"/>
        <w:rPr>
          <w:rFonts w:ascii="Times New Roman" w:eastAsia="Times New Roman" w:hAnsi="Times New Roman" w:cs="Times New Roman"/>
          <w:sz w:val="24"/>
          <w:szCs w:val="24"/>
        </w:rPr>
      </w:pPr>
    </w:p>
    <w:p w:rsidR="002C3444" w:rsidRPr="002C3444" w:rsidRDefault="002C3444" w:rsidP="002B1E45">
      <w:pPr>
        <w:pStyle w:val="ListParagraph"/>
        <w:numPr>
          <w:ilvl w:val="0"/>
          <w:numId w:val="2"/>
        </w:numPr>
        <w:spacing w:line="360" w:lineRule="auto"/>
        <w:ind w:hanging="720"/>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But an application under Sch. 1 </w:t>
      </w:r>
      <w:r w:rsidRPr="002C3444">
        <w:rPr>
          <w:rFonts w:ascii="Times New Roman" w:eastAsia="Times New Roman" w:hAnsi="Times New Roman" w:cs="Times New Roman"/>
          <w:sz w:val="24"/>
          <w:szCs w:val="24"/>
          <w:u w:val="single"/>
        </w:rPr>
        <w:t>after</w:t>
      </w:r>
      <w:r w:rsidRPr="002C3444">
        <w:rPr>
          <w:rFonts w:ascii="Times New Roman" w:eastAsia="Times New Roman" w:hAnsi="Times New Roman" w:cs="Times New Roman"/>
          <w:sz w:val="24"/>
          <w:szCs w:val="24"/>
        </w:rPr>
        <w:t xml:space="preserve"> an ancillary relief final order is possible. </w:t>
      </w:r>
    </w:p>
    <w:p w:rsidR="002C3444" w:rsidRPr="002C3444" w:rsidRDefault="002C3444" w:rsidP="002C3444">
      <w:pPr>
        <w:pStyle w:val="ListParagraph"/>
        <w:numPr>
          <w:ilvl w:val="0"/>
          <w:numId w:val="27"/>
        </w:numPr>
        <w:spacing w:line="360" w:lineRule="auto"/>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 xml:space="preserve">In </w:t>
      </w:r>
      <w:r w:rsidRPr="002C3444">
        <w:rPr>
          <w:rFonts w:ascii="Times New Roman" w:eastAsia="Times New Roman" w:hAnsi="Times New Roman" w:cs="Times New Roman"/>
          <w:i/>
          <w:sz w:val="24"/>
          <w:szCs w:val="24"/>
        </w:rPr>
        <w:t>MB v KB</w:t>
      </w:r>
      <w:r w:rsidRPr="002C3444">
        <w:rPr>
          <w:rFonts w:ascii="Times New Roman" w:eastAsia="Times New Roman" w:hAnsi="Times New Roman" w:cs="Times New Roman"/>
          <w:sz w:val="24"/>
          <w:szCs w:val="24"/>
        </w:rPr>
        <w:t xml:space="preserve"> [2007] 2 FLR 586, the ex-wife issued Schedule 1 proceedings seeking to move to new accommodation of better standard than that provided by the final ancillary relief order. Ex-husband asserted that the claim should not be allowed on the basis that her housing needs have already been resolved by a matrimonial court (‘quasi issue estoppel’) and sought to strike out. </w:t>
      </w:r>
      <w:r w:rsidRPr="002C3444">
        <w:rPr>
          <w:rFonts w:ascii="Times New Roman" w:eastAsia="Times New Roman" w:hAnsi="Times New Roman" w:cs="Times New Roman"/>
          <w:b/>
          <w:sz w:val="24"/>
          <w:szCs w:val="24"/>
        </w:rPr>
        <w:t>Held</w:t>
      </w:r>
      <w:r w:rsidRPr="002C3444">
        <w:rPr>
          <w:rFonts w:ascii="Times New Roman" w:eastAsia="Times New Roman" w:hAnsi="Times New Roman" w:cs="Times New Roman"/>
          <w:sz w:val="24"/>
          <w:szCs w:val="24"/>
        </w:rPr>
        <w:t xml:space="preserve"> (Baron J); while the provisions of the AR order are ‘set in stone’ [33], the child’s housing needs are not set by some form of ‘res judicata’ – whereby ex-wife could proceed with her application for a settlement of property order under Schedule 1. No restriction on wife pursuing the application for the benefit of a child (NB No determination of the substantive application)</w:t>
      </w:r>
    </w:p>
    <w:p w:rsidR="002C3444" w:rsidRPr="002C3444" w:rsidRDefault="002C3444" w:rsidP="002C3444">
      <w:pPr>
        <w:pStyle w:val="ListParagraph"/>
        <w:spacing w:line="360" w:lineRule="auto"/>
        <w:ind w:left="1800"/>
        <w:jc w:val="both"/>
        <w:rPr>
          <w:rFonts w:ascii="Times New Roman" w:eastAsia="Times New Roman" w:hAnsi="Times New Roman" w:cs="Times New Roman"/>
          <w:sz w:val="24"/>
          <w:szCs w:val="24"/>
        </w:rPr>
      </w:pPr>
    </w:p>
    <w:p w:rsidR="002C3444" w:rsidRPr="002C3444" w:rsidRDefault="002C3444" w:rsidP="002C3444">
      <w:pPr>
        <w:pStyle w:val="ListParagraph"/>
        <w:numPr>
          <w:ilvl w:val="0"/>
          <w:numId w:val="27"/>
        </w:numPr>
        <w:spacing w:line="360" w:lineRule="auto"/>
        <w:jc w:val="both"/>
        <w:rPr>
          <w:rFonts w:ascii="Times New Roman" w:eastAsia="Times New Roman" w:hAnsi="Times New Roman" w:cs="Times New Roman"/>
          <w:sz w:val="24"/>
          <w:szCs w:val="24"/>
        </w:rPr>
      </w:pPr>
      <w:r w:rsidRPr="002C3444">
        <w:rPr>
          <w:rFonts w:ascii="Times New Roman" w:eastAsia="Times New Roman" w:hAnsi="Times New Roman" w:cs="Times New Roman"/>
          <w:sz w:val="24"/>
          <w:szCs w:val="24"/>
        </w:rPr>
        <w:t>Subsequent authority (</w:t>
      </w:r>
      <w:r w:rsidRPr="002C3444">
        <w:rPr>
          <w:rFonts w:ascii="Times New Roman" w:eastAsia="Times New Roman" w:hAnsi="Times New Roman" w:cs="Times New Roman"/>
          <w:i/>
          <w:sz w:val="24"/>
          <w:szCs w:val="24"/>
        </w:rPr>
        <w:t>PK v BC (Financial Remedies: Schedule 1)</w:t>
      </w:r>
      <w:r w:rsidRPr="002C3444">
        <w:rPr>
          <w:rFonts w:ascii="Times New Roman" w:eastAsia="Times New Roman" w:hAnsi="Times New Roman" w:cs="Times New Roman"/>
          <w:sz w:val="24"/>
          <w:szCs w:val="24"/>
        </w:rPr>
        <w:t xml:space="preserve"> [2012] 2 FLR 1426</w:t>
      </w:r>
      <w:r>
        <w:rPr>
          <w:rFonts w:ascii="Times New Roman" w:eastAsia="Times New Roman" w:hAnsi="Times New Roman" w:cs="Times New Roman"/>
          <w:sz w:val="24"/>
          <w:szCs w:val="24"/>
        </w:rPr>
        <w:t>)</w:t>
      </w:r>
      <w:r w:rsidRPr="002C3444">
        <w:rPr>
          <w:rFonts w:ascii="Times New Roman" w:eastAsia="Times New Roman" w:hAnsi="Times New Roman" w:cs="Times New Roman"/>
          <w:sz w:val="24"/>
          <w:szCs w:val="24"/>
        </w:rPr>
        <w:t xml:space="preserve"> confirms that (1) the circumstances have to be exceptional, (2) where it is possible, it could only be for a settlement of property and not a freestanding lump sum (therefore application for money to buy a car </w:t>
      </w:r>
      <w:r w:rsidRPr="002C3444">
        <w:rPr>
          <w:rFonts w:ascii="Times New Roman" w:eastAsia="Times New Roman" w:hAnsi="Times New Roman" w:cs="Times New Roman"/>
          <w:sz w:val="24"/>
          <w:szCs w:val="24"/>
        </w:rPr>
        <w:lastRenderedPageBreak/>
        <w:t>failed). On the facts of that case, the application was held to be misconceived leading to an adverse costs order.</w:t>
      </w:r>
    </w:p>
    <w:p w:rsidR="00A051A1" w:rsidRDefault="00A051A1" w:rsidP="002C3444">
      <w:pPr>
        <w:spacing w:line="360" w:lineRule="auto"/>
        <w:rPr>
          <w:rFonts w:ascii="Times New Roman" w:eastAsia="Times New Roman" w:hAnsi="Times New Roman" w:cs="Times New Roman"/>
          <w:sz w:val="24"/>
          <w:szCs w:val="24"/>
          <w:u w:val="single"/>
        </w:rPr>
      </w:pPr>
    </w:p>
    <w:p w:rsidR="002C3444" w:rsidRPr="002C3444" w:rsidRDefault="002C3444" w:rsidP="002C3444">
      <w:pPr>
        <w:spacing w:line="360" w:lineRule="auto"/>
        <w:rPr>
          <w:rFonts w:ascii="Times New Roman" w:hAnsi="Times New Roman" w:cs="Times New Roman"/>
          <w:sz w:val="24"/>
          <w:szCs w:val="24"/>
          <w:u w:val="single"/>
        </w:rPr>
      </w:pPr>
      <w:r w:rsidRPr="002C3444">
        <w:rPr>
          <w:rFonts w:ascii="Times New Roman" w:eastAsia="Times New Roman" w:hAnsi="Times New Roman" w:cs="Times New Roman"/>
          <w:sz w:val="24"/>
          <w:szCs w:val="24"/>
          <w:u w:val="single"/>
        </w:rPr>
        <w:t>TOLATA</w:t>
      </w:r>
    </w:p>
    <w:p w:rsidR="002C3444" w:rsidRPr="002C3444" w:rsidRDefault="002C3444" w:rsidP="002B1E45">
      <w:pPr>
        <w:pStyle w:val="ListParagraph"/>
        <w:numPr>
          <w:ilvl w:val="0"/>
          <w:numId w:val="2"/>
        </w:numPr>
        <w:spacing w:line="360" w:lineRule="auto"/>
        <w:ind w:right="-46" w:hanging="720"/>
        <w:jc w:val="both"/>
        <w:rPr>
          <w:rFonts w:ascii="Times New Roman" w:eastAsia="Arial Unicode MS" w:hAnsi="Times New Roman" w:cs="Times New Roman"/>
          <w:sz w:val="24"/>
          <w:szCs w:val="24"/>
        </w:rPr>
      </w:pPr>
      <w:r w:rsidRPr="002C3444">
        <w:rPr>
          <w:rFonts w:ascii="Times New Roman" w:eastAsia="Arial Unicode MS" w:hAnsi="Times New Roman" w:cs="Times New Roman"/>
          <w:sz w:val="24"/>
          <w:szCs w:val="24"/>
        </w:rPr>
        <w:t>There are, however, many cases in which the parties are both co-owners or property (whether in law or equity) and parents, in which case “…</w:t>
      </w:r>
      <w:r w:rsidRPr="002C3444">
        <w:rPr>
          <w:rFonts w:ascii="Times New Roman" w:hAnsi="Times New Roman" w:cs="Times New Roman"/>
          <w:sz w:val="24"/>
          <w:szCs w:val="24"/>
        </w:rPr>
        <w:t>each has an entitlement to resort to two distinct statutory regimes”</w:t>
      </w:r>
      <w:r w:rsidRPr="002C3444">
        <w:rPr>
          <w:rStyle w:val="FootnoteReference"/>
          <w:rFonts w:ascii="Times New Roman" w:hAnsi="Times New Roman" w:cs="Times New Roman"/>
          <w:sz w:val="24"/>
          <w:szCs w:val="24"/>
        </w:rPr>
        <w:footnoteReference w:id="62"/>
      </w:r>
      <w:r w:rsidRPr="002C3444">
        <w:rPr>
          <w:rFonts w:ascii="Times New Roman" w:hAnsi="Times New Roman" w:cs="Times New Roman"/>
          <w:sz w:val="24"/>
          <w:szCs w:val="24"/>
        </w:rPr>
        <w:t xml:space="preserve">: </w:t>
      </w:r>
      <w:r w:rsidRPr="002C3444">
        <w:rPr>
          <w:rFonts w:ascii="Times New Roman" w:eastAsia="Arial Unicode MS" w:hAnsi="Times New Roman" w:cs="Times New Roman"/>
          <w:sz w:val="24"/>
          <w:szCs w:val="24"/>
        </w:rPr>
        <w:t>a Schedule 1 claim should be issued alongside a TOLATA claim, whereby the court should consider two distinct claims which should normally be consolidated:</w:t>
      </w:r>
    </w:p>
    <w:p w:rsidR="002C3444" w:rsidRPr="002C3444" w:rsidRDefault="002C3444" w:rsidP="002C3444">
      <w:pPr>
        <w:pStyle w:val="ListParagraph"/>
        <w:numPr>
          <w:ilvl w:val="0"/>
          <w:numId w:val="28"/>
        </w:numPr>
        <w:spacing w:line="360" w:lineRule="auto"/>
        <w:ind w:right="-46"/>
        <w:jc w:val="both"/>
        <w:rPr>
          <w:rFonts w:ascii="Times New Roman" w:eastAsia="Arial Unicode MS" w:hAnsi="Times New Roman" w:cs="Times New Roman"/>
          <w:sz w:val="24"/>
          <w:szCs w:val="24"/>
        </w:rPr>
      </w:pPr>
      <w:r w:rsidRPr="002C3444">
        <w:rPr>
          <w:rFonts w:ascii="Times New Roman" w:eastAsia="Arial Unicode MS" w:hAnsi="Times New Roman" w:cs="Times New Roman"/>
          <w:sz w:val="24"/>
          <w:szCs w:val="24"/>
        </w:rPr>
        <w:t>Whether applicant has a beneficial interest in property, and if so quantification of that interest, applying law of trusts/ TOLATA;</w:t>
      </w:r>
    </w:p>
    <w:p w:rsidR="002C3444" w:rsidRPr="002C3444" w:rsidRDefault="002C3444" w:rsidP="002C3444">
      <w:pPr>
        <w:pStyle w:val="ListParagraph"/>
        <w:numPr>
          <w:ilvl w:val="0"/>
          <w:numId w:val="28"/>
        </w:numPr>
        <w:spacing w:line="360" w:lineRule="auto"/>
        <w:ind w:right="-46"/>
        <w:jc w:val="both"/>
        <w:rPr>
          <w:rFonts w:ascii="Times New Roman" w:eastAsia="Arial Unicode MS" w:hAnsi="Times New Roman" w:cs="Times New Roman"/>
          <w:sz w:val="24"/>
          <w:szCs w:val="24"/>
        </w:rPr>
      </w:pPr>
      <w:r w:rsidRPr="002C3444">
        <w:rPr>
          <w:rFonts w:ascii="Times New Roman" w:eastAsia="Arial Unicode MS" w:hAnsi="Times New Roman" w:cs="Times New Roman"/>
          <w:sz w:val="24"/>
          <w:szCs w:val="24"/>
        </w:rPr>
        <w:t>Considering whether capital should be advanced or property settled for the benefit of a child during his minority under Schedule 1, exercising a discretion with child’s welfare being ‘constant influence on outcome’ (see para [2], above) under Schedule 1.</w:t>
      </w:r>
    </w:p>
    <w:p w:rsidR="002C3444" w:rsidRPr="002C3444" w:rsidRDefault="002C3444" w:rsidP="002C3444">
      <w:pPr>
        <w:pStyle w:val="ListParagraph"/>
        <w:spacing w:line="360" w:lineRule="auto"/>
        <w:jc w:val="both"/>
        <w:rPr>
          <w:rFonts w:ascii="Times New Roman" w:hAnsi="Times New Roman" w:cs="Times New Roman"/>
          <w:sz w:val="24"/>
          <w:szCs w:val="24"/>
        </w:rPr>
      </w:pPr>
    </w:p>
    <w:p w:rsidR="002C3444" w:rsidRPr="002C3444" w:rsidRDefault="002C3444" w:rsidP="002B1E45">
      <w:pPr>
        <w:pStyle w:val="ListParagraph"/>
        <w:numPr>
          <w:ilvl w:val="0"/>
          <w:numId w:val="2"/>
        </w:numPr>
        <w:spacing w:line="360" w:lineRule="auto"/>
        <w:ind w:hanging="720"/>
        <w:jc w:val="both"/>
        <w:rPr>
          <w:rFonts w:ascii="Times New Roman" w:hAnsi="Times New Roman" w:cs="Times New Roman"/>
          <w:sz w:val="24"/>
          <w:szCs w:val="24"/>
        </w:rPr>
      </w:pPr>
      <w:r w:rsidRPr="002C3444">
        <w:rPr>
          <w:rFonts w:ascii="Times New Roman" w:hAnsi="Times New Roman" w:cs="Times New Roman"/>
          <w:sz w:val="24"/>
          <w:szCs w:val="24"/>
        </w:rPr>
        <w:t>In practice, this can pose some case management challenges:</w:t>
      </w:r>
    </w:p>
    <w:p w:rsidR="002C3444" w:rsidRPr="002C3444" w:rsidRDefault="002C3444" w:rsidP="002C3444">
      <w:pPr>
        <w:pStyle w:val="ListParagraph"/>
        <w:numPr>
          <w:ilvl w:val="0"/>
          <w:numId w:val="29"/>
        </w:numPr>
        <w:spacing w:line="360" w:lineRule="auto"/>
        <w:jc w:val="both"/>
        <w:rPr>
          <w:rFonts w:ascii="Times New Roman" w:hAnsi="Times New Roman" w:cs="Times New Roman"/>
          <w:sz w:val="24"/>
          <w:szCs w:val="24"/>
        </w:rPr>
      </w:pPr>
      <w:r w:rsidRPr="002C3444">
        <w:rPr>
          <w:rFonts w:ascii="Times New Roman" w:hAnsi="Times New Roman" w:cs="Times New Roman"/>
          <w:sz w:val="24"/>
          <w:szCs w:val="24"/>
        </w:rPr>
        <w:t xml:space="preserve">The overriding objectives set out at FPR Part 1 and CPR Part 1 and now to all intents indistinguishable. </w:t>
      </w:r>
    </w:p>
    <w:p w:rsidR="002C3444" w:rsidRPr="002C3444" w:rsidRDefault="002C3444" w:rsidP="002C3444">
      <w:pPr>
        <w:pStyle w:val="ListParagraph"/>
        <w:numPr>
          <w:ilvl w:val="0"/>
          <w:numId w:val="29"/>
        </w:numPr>
        <w:spacing w:line="360" w:lineRule="auto"/>
        <w:jc w:val="both"/>
        <w:rPr>
          <w:rFonts w:ascii="Times New Roman" w:hAnsi="Times New Roman" w:cs="Times New Roman"/>
          <w:sz w:val="24"/>
          <w:szCs w:val="24"/>
        </w:rPr>
      </w:pPr>
      <w:r w:rsidRPr="002C3444">
        <w:rPr>
          <w:rFonts w:ascii="Times New Roman" w:hAnsi="Times New Roman" w:cs="Times New Roman"/>
          <w:sz w:val="24"/>
          <w:szCs w:val="24"/>
        </w:rPr>
        <w:t xml:space="preserve">However the procedure governing disclosure and pleadings/ Form E are very different under FPR Part 9 as opposed to CPR Part 7/8. </w:t>
      </w:r>
    </w:p>
    <w:p w:rsidR="002C3444" w:rsidRPr="002C3444" w:rsidRDefault="002C3444" w:rsidP="002C3444">
      <w:pPr>
        <w:pStyle w:val="ListParagraph"/>
        <w:numPr>
          <w:ilvl w:val="0"/>
          <w:numId w:val="29"/>
        </w:numPr>
        <w:spacing w:line="360" w:lineRule="auto"/>
        <w:jc w:val="both"/>
        <w:rPr>
          <w:rFonts w:ascii="Times New Roman" w:hAnsi="Times New Roman" w:cs="Times New Roman"/>
          <w:sz w:val="24"/>
          <w:szCs w:val="24"/>
        </w:rPr>
      </w:pPr>
      <w:r w:rsidRPr="002C3444">
        <w:rPr>
          <w:rFonts w:ascii="Times New Roman" w:hAnsi="Times New Roman" w:cs="Times New Roman"/>
          <w:sz w:val="24"/>
          <w:szCs w:val="24"/>
        </w:rPr>
        <w:t>In order to avoid duplication and unnecessary costs directions should be agreed as best practice.</w:t>
      </w:r>
    </w:p>
    <w:p w:rsidR="00070003" w:rsidRPr="002C3444" w:rsidRDefault="00070003" w:rsidP="00070003">
      <w:pPr>
        <w:jc w:val="both"/>
        <w:rPr>
          <w:rFonts w:ascii="Times New Roman" w:hAnsi="Times New Roman" w:cs="Times New Roman"/>
          <w:b/>
          <w:sz w:val="24"/>
          <w:szCs w:val="24"/>
          <w:u w:val="single"/>
        </w:rPr>
      </w:pPr>
    </w:p>
    <w:p w:rsidR="00070003" w:rsidRPr="002C3444" w:rsidRDefault="00070003" w:rsidP="00070003">
      <w:pPr>
        <w:spacing w:line="360" w:lineRule="auto"/>
        <w:jc w:val="both"/>
        <w:rPr>
          <w:rFonts w:ascii="Times New Roman" w:hAnsi="Times New Roman" w:cs="Times New Roman"/>
          <w:b/>
          <w:sz w:val="24"/>
          <w:szCs w:val="24"/>
        </w:rPr>
      </w:pPr>
      <w:r w:rsidRPr="002C3444">
        <w:rPr>
          <w:rFonts w:ascii="Times New Roman" w:hAnsi="Times New Roman" w:cs="Times New Roman"/>
          <w:b/>
          <w:sz w:val="24"/>
          <w:szCs w:val="24"/>
        </w:rPr>
        <w:t>ENFORCEMENT</w:t>
      </w:r>
    </w:p>
    <w:p w:rsidR="00070003" w:rsidRPr="002C3444" w:rsidRDefault="00070003" w:rsidP="002B1E45">
      <w:pPr>
        <w:numPr>
          <w:ilvl w:val="0"/>
          <w:numId w:val="2"/>
        </w:numPr>
        <w:spacing w:line="360" w:lineRule="auto"/>
        <w:ind w:hanging="720"/>
        <w:contextualSpacing/>
        <w:jc w:val="both"/>
        <w:rPr>
          <w:rFonts w:ascii="Times New Roman" w:hAnsi="Times New Roman" w:cs="Times New Roman"/>
          <w:sz w:val="24"/>
          <w:szCs w:val="24"/>
        </w:rPr>
      </w:pPr>
      <w:r w:rsidRPr="002C3444">
        <w:rPr>
          <w:rFonts w:ascii="Times New Roman" w:hAnsi="Times New Roman" w:cs="Times New Roman"/>
          <w:sz w:val="24"/>
          <w:szCs w:val="24"/>
        </w:rPr>
        <w:lastRenderedPageBreak/>
        <w:t>The routes of enforcement for lump sums and periodical payments orders are:</w:t>
      </w:r>
    </w:p>
    <w:p w:rsidR="00070003" w:rsidRPr="002C3444" w:rsidRDefault="00070003" w:rsidP="00070003">
      <w:pPr>
        <w:pStyle w:val="ListParagraph"/>
        <w:numPr>
          <w:ilvl w:val="2"/>
          <w:numId w:val="23"/>
        </w:numPr>
        <w:tabs>
          <w:tab w:val="clear" w:pos="2340"/>
          <w:tab w:val="num" w:pos="1843"/>
        </w:tabs>
        <w:spacing w:line="360" w:lineRule="auto"/>
        <w:ind w:left="1843" w:hanging="425"/>
        <w:jc w:val="both"/>
        <w:rPr>
          <w:rFonts w:ascii="Times New Roman" w:hAnsi="Times New Roman" w:cs="Times New Roman"/>
          <w:sz w:val="24"/>
          <w:szCs w:val="24"/>
        </w:rPr>
      </w:pPr>
      <w:r w:rsidRPr="002C3444">
        <w:rPr>
          <w:rFonts w:ascii="Times New Roman" w:hAnsi="Times New Roman" w:cs="Times New Roman"/>
          <w:sz w:val="24"/>
          <w:szCs w:val="24"/>
        </w:rPr>
        <w:t>Attachment of earnings order;</w:t>
      </w:r>
    </w:p>
    <w:p w:rsidR="00070003" w:rsidRPr="002C3444" w:rsidRDefault="00070003" w:rsidP="00070003">
      <w:pPr>
        <w:pStyle w:val="ListParagraph"/>
        <w:numPr>
          <w:ilvl w:val="2"/>
          <w:numId w:val="23"/>
        </w:numPr>
        <w:tabs>
          <w:tab w:val="clear" w:pos="2340"/>
          <w:tab w:val="num" w:pos="1843"/>
        </w:tabs>
        <w:spacing w:line="360" w:lineRule="auto"/>
        <w:ind w:left="1843" w:hanging="425"/>
        <w:jc w:val="both"/>
        <w:rPr>
          <w:rFonts w:ascii="Times New Roman" w:hAnsi="Times New Roman" w:cs="Times New Roman"/>
          <w:sz w:val="24"/>
          <w:szCs w:val="24"/>
        </w:rPr>
      </w:pPr>
      <w:r w:rsidRPr="002C3444">
        <w:rPr>
          <w:rFonts w:ascii="Times New Roman" w:hAnsi="Times New Roman" w:cs="Times New Roman"/>
          <w:sz w:val="24"/>
          <w:szCs w:val="24"/>
        </w:rPr>
        <w:t>Charging order;</w:t>
      </w:r>
    </w:p>
    <w:p w:rsidR="00070003" w:rsidRPr="002C3444" w:rsidRDefault="00070003" w:rsidP="00070003">
      <w:pPr>
        <w:pStyle w:val="ListParagraph"/>
        <w:numPr>
          <w:ilvl w:val="2"/>
          <w:numId w:val="23"/>
        </w:numPr>
        <w:tabs>
          <w:tab w:val="clear" w:pos="2340"/>
          <w:tab w:val="num" w:pos="1843"/>
        </w:tabs>
        <w:spacing w:line="360" w:lineRule="auto"/>
        <w:ind w:left="1843" w:hanging="425"/>
        <w:jc w:val="both"/>
        <w:rPr>
          <w:rFonts w:ascii="Times New Roman" w:hAnsi="Times New Roman" w:cs="Times New Roman"/>
          <w:sz w:val="24"/>
          <w:szCs w:val="24"/>
        </w:rPr>
      </w:pPr>
      <w:r w:rsidRPr="002C3444">
        <w:rPr>
          <w:rFonts w:ascii="Times New Roman" w:hAnsi="Times New Roman" w:cs="Times New Roman"/>
          <w:sz w:val="24"/>
          <w:szCs w:val="24"/>
        </w:rPr>
        <w:t>Orders for the execution of a conveyance, contracts, document or instruments;</w:t>
      </w:r>
    </w:p>
    <w:p w:rsidR="00070003" w:rsidRPr="002C3444" w:rsidRDefault="00070003" w:rsidP="00070003">
      <w:pPr>
        <w:pStyle w:val="ListParagraph"/>
        <w:numPr>
          <w:ilvl w:val="2"/>
          <w:numId w:val="23"/>
        </w:numPr>
        <w:tabs>
          <w:tab w:val="clear" w:pos="2340"/>
          <w:tab w:val="num" w:pos="1843"/>
        </w:tabs>
        <w:spacing w:line="360" w:lineRule="auto"/>
        <w:ind w:left="1843" w:hanging="425"/>
        <w:jc w:val="both"/>
        <w:rPr>
          <w:rFonts w:ascii="Times New Roman" w:hAnsi="Times New Roman" w:cs="Times New Roman"/>
          <w:sz w:val="24"/>
          <w:szCs w:val="24"/>
        </w:rPr>
      </w:pPr>
      <w:r w:rsidRPr="002C3444">
        <w:rPr>
          <w:rFonts w:ascii="Times New Roman" w:hAnsi="Times New Roman" w:cs="Times New Roman"/>
          <w:sz w:val="24"/>
          <w:szCs w:val="24"/>
        </w:rPr>
        <w:t>Third-party debt order;</w:t>
      </w:r>
    </w:p>
    <w:p w:rsidR="00070003" w:rsidRPr="002C3444" w:rsidRDefault="00070003" w:rsidP="00070003">
      <w:pPr>
        <w:pStyle w:val="ListParagraph"/>
        <w:numPr>
          <w:ilvl w:val="2"/>
          <w:numId w:val="23"/>
        </w:numPr>
        <w:tabs>
          <w:tab w:val="clear" w:pos="2340"/>
          <w:tab w:val="num" w:pos="1843"/>
        </w:tabs>
        <w:spacing w:line="360" w:lineRule="auto"/>
        <w:ind w:left="1843" w:hanging="425"/>
        <w:jc w:val="both"/>
        <w:rPr>
          <w:rFonts w:ascii="Times New Roman" w:hAnsi="Times New Roman" w:cs="Times New Roman"/>
          <w:sz w:val="24"/>
          <w:szCs w:val="24"/>
        </w:rPr>
      </w:pPr>
      <w:r w:rsidRPr="002C3444">
        <w:rPr>
          <w:rFonts w:ascii="Times New Roman" w:hAnsi="Times New Roman" w:cs="Times New Roman"/>
          <w:sz w:val="24"/>
          <w:szCs w:val="24"/>
        </w:rPr>
        <w:t xml:space="preserve">Warrant of execution, delivery or possession in the county court and writ of execution and writ of </w:t>
      </w:r>
      <w:proofErr w:type="spellStart"/>
      <w:r w:rsidRPr="002C3444">
        <w:rPr>
          <w:rFonts w:ascii="Times New Roman" w:hAnsi="Times New Roman" w:cs="Times New Roman"/>
          <w:i/>
          <w:sz w:val="24"/>
          <w:szCs w:val="24"/>
        </w:rPr>
        <w:t>fieri</w:t>
      </w:r>
      <w:proofErr w:type="spellEnd"/>
      <w:r w:rsidRPr="002C3444">
        <w:rPr>
          <w:rFonts w:ascii="Times New Roman" w:hAnsi="Times New Roman" w:cs="Times New Roman"/>
          <w:i/>
          <w:sz w:val="24"/>
          <w:szCs w:val="24"/>
        </w:rPr>
        <w:t xml:space="preserve"> </w:t>
      </w:r>
      <w:proofErr w:type="spellStart"/>
      <w:r w:rsidRPr="002C3444">
        <w:rPr>
          <w:rFonts w:ascii="Times New Roman" w:hAnsi="Times New Roman" w:cs="Times New Roman"/>
          <w:i/>
          <w:sz w:val="24"/>
          <w:szCs w:val="24"/>
        </w:rPr>
        <w:t>facias</w:t>
      </w:r>
      <w:proofErr w:type="spellEnd"/>
      <w:r w:rsidRPr="002C3444">
        <w:rPr>
          <w:rFonts w:ascii="Times New Roman" w:hAnsi="Times New Roman" w:cs="Times New Roman"/>
          <w:sz w:val="24"/>
          <w:szCs w:val="24"/>
        </w:rPr>
        <w:t xml:space="preserve"> in the High Court;</w:t>
      </w:r>
    </w:p>
    <w:p w:rsidR="00070003" w:rsidRPr="002C3444" w:rsidRDefault="00070003" w:rsidP="00070003">
      <w:pPr>
        <w:pStyle w:val="ListParagraph"/>
        <w:numPr>
          <w:ilvl w:val="2"/>
          <w:numId w:val="23"/>
        </w:numPr>
        <w:tabs>
          <w:tab w:val="clear" w:pos="2340"/>
          <w:tab w:val="num" w:pos="1843"/>
        </w:tabs>
        <w:spacing w:line="360" w:lineRule="auto"/>
        <w:ind w:left="1843" w:hanging="425"/>
        <w:jc w:val="both"/>
        <w:rPr>
          <w:rFonts w:ascii="Times New Roman" w:hAnsi="Times New Roman" w:cs="Times New Roman"/>
          <w:sz w:val="24"/>
          <w:szCs w:val="24"/>
        </w:rPr>
      </w:pPr>
      <w:r w:rsidRPr="002C3444">
        <w:rPr>
          <w:rFonts w:ascii="Times New Roman" w:hAnsi="Times New Roman" w:cs="Times New Roman"/>
          <w:sz w:val="24"/>
          <w:szCs w:val="24"/>
        </w:rPr>
        <w:t>Judgment summons;</w:t>
      </w:r>
    </w:p>
    <w:p w:rsidR="00070003" w:rsidRPr="002C3444" w:rsidRDefault="00070003" w:rsidP="00070003">
      <w:pPr>
        <w:pStyle w:val="ListParagraph"/>
        <w:numPr>
          <w:ilvl w:val="2"/>
          <w:numId w:val="23"/>
        </w:numPr>
        <w:tabs>
          <w:tab w:val="clear" w:pos="2340"/>
          <w:tab w:val="num" w:pos="1843"/>
        </w:tabs>
        <w:spacing w:line="360" w:lineRule="auto"/>
        <w:ind w:left="1843" w:hanging="425"/>
        <w:jc w:val="both"/>
        <w:rPr>
          <w:rFonts w:ascii="Times New Roman" w:hAnsi="Times New Roman" w:cs="Times New Roman"/>
          <w:sz w:val="24"/>
          <w:szCs w:val="24"/>
        </w:rPr>
      </w:pPr>
      <w:r w:rsidRPr="002C3444">
        <w:rPr>
          <w:rFonts w:ascii="Times New Roman" w:hAnsi="Times New Roman" w:cs="Times New Roman"/>
          <w:sz w:val="24"/>
          <w:szCs w:val="24"/>
        </w:rPr>
        <w:t>Appointment of a receiver;</w:t>
      </w:r>
    </w:p>
    <w:p w:rsidR="00070003" w:rsidRPr="002C3444" w:rsidRDefault="00070003" w:rsidP="00070003">
      <w:pPr>
        <w:pStyle w:val="ListParagraph"/>
        <w:numPr>
          <w:ilvl w:val="2"/>
          <w:numId w:val="23"/>
        </w:numPr>
        <w:tabs>
          <w:tab w:val="clear" w:pos="2340"/>
          <w:tab w:val="num" w:pos="1843"/>
        </w:tabs>
        <w:spacing w:line="360" w:lineRule="auto"/>
        <w:ind w:left="1843" w:hanging="425"/>
        <w:jc w:val="both"/>
        <w:rPr>
          <w:rFonts w:ascii="Times New Roman" w:hAnsi="Times New Roman" w:cs="Times New Roman"/>
          <w:sz w:val="24"/>
          <w:szCs w:val="24"/>
        </w:rPr>
      </w:pPr>
      <w:r w:rsidRPr="002C3444">
        <w:rPr>
          <w:rFonts w:ascii="Times New Roman" w:hAnsi="Times New Roman" w:cs="Times New Roman"/>
          <w:sz w:val="24"/>
          <w:szCs w:val="24"/>
        </w:rPr>
        <w:t>Writ of sequestration;</w:t>
      </w:r>
    </w:p>
    <w:p w:rsidR="00070003" w:rsidRPr="002C3444" w:rsidRDefault="00070003" w:rsidP="00070003">
      <w:pPr>
        <w:pStyle w:val="ListParagraph"/>
        <w:numPr>
          <w:ilvl w:val="2"/>
          <w:numId w:val="23"/>
        </w:numPr>
        <w:tabs>
          <w:tab w:val="clear" w:pos="2340"/>
          <w:tab w:val="num" w:pos="1843"/>
        </w:tabs>
        <w:spacing w:line="360" w:lineRule="auto"/>
        <w:ind w:left="1843" w:hanging="425"/>
        <w:jc w:val="both"/>
        <w:rPr>
          <w:rFonts w:ascii="Times New Roman" w:hAnsi="Times New Roman" w:cs="Times New Roman"/>
          <w:sz w:val="24"/>
          <w:szCs w:val="24"/>
        </w:rPr>
      </w:pPr>
      <w:r w:rsidRPr="002C3444">
        <w:rPr>
          <w:rFonts w:ascii="Times New Roman" w:hAnsi="Times New Roman" w:cs="Times New Roman"/>
          <w:sz w:val="24"/>
          <w:szCs w:val="24"/>
        </w:rPr>
        <w:t>Oral examination of a debtor;</w:t>
      </w:r>
    </w:p>
    <w:p w:rsidR="00070003" w:rsidRPr="002C3444" w:rsidRDefault="00070003" w:rsidP="00070003">
      <w:pPr>
        <w:pStyle w:val="ListParagraph"/>
        <w:numPr>
          <w:ilvl w:val="2"/>
          <w:numId w:val="23"/>
        </w:numPr>
        <w:tabs>
          <w:tab w:val="clear" w:pos="2340"/>
          <w:tab w:val="num" w:pos="1843"/>
        </w:tabs>
        <w:spacing w:line="360" w:lineRule="auto"/>
        <w:ind w:left="1843" w:hanging="425"/>
        <w:jc w:val="both"/>
        <w:rPr>
          <w:rFonts w:ascii="Times New Roman" w:hAnsi="Times New Roman" w:cs="Times New Roman"/>
          <w:sz w:val="24"/>
          <w:szCs w:val="24"/>
        </w:rPr>
      </w:pPr>
      <w:r w:rsidRPr="002C3444">
        <w:rPr>
          <w:rFonts w:ascii="Times New Roman" w:hAnsi="Times New Roman" w:cs="Times New Roman"/>
          <w:sz w:val="24"/>
          <w:szCs w:val="24"/>
        </w:rPr>
        <w:t>Registration of a maintenance order.</w:t>
      </w:r>
    </w:p>
    <w:p w:rsidR="00070003" w:rsidRPr="002C3444" w:rsidRDefault="00070003" w:rsidP="00070003">
      <w:pPr>
        <w:spacing w:line="360" w:lineRule="auto"/>
        <w:ind w:left="720"/>
        <w:contextualSpacing/>
        <w:jc w:val="both"/>
        <w:rPr>
          <w:rFonts w:ascii="Times New Roman" w:hAnsi="Times New Roman" w:cs="Times New Roman"/>
          <w:sz w:val="24"/>
          <w:szCs w:val="24"/>
          <w:u w:val="single"/>
        </w:rPr>
      </w:pPr>
    </w:p>
    <w:p w:rsidR="00070003" w:rsidRPr="002C3444" w:rsidRDefault="00070003" w:rsidP="002B1E45">
      <w:pPr>
        <w:numPr>
          <w:ilvl w:val="0"/>
          <w:numId w:val="2"/>
        </w:numPr>
        <w:spacing w:line="360" w:lineRule="auto"/>
        <w:ind w:hanging="720"/>
        <w:contextualSpacing/>
        <w:jc w:val="both"/>
        <w:rPr>
          <w:rFonts w:ascii="Times New Roman" w:hAnsi="Times New Roman" w:cs="Times New Roman"/>
          <w:sz w:val="24"/>
          <w:szCs w:val="24"/>
          <w:u w:val="single"/>
        </w:rPr>
      </w:pPr>
      <w:r w:rsidRPr="002C3444">
        <w:rPr>
          <w:rFonts w:ascii="Times New Roman" w:hAnsi="Times New Roman" w:cs="Times New Roman"/>
          <w:sz w:val="24"/>
          <w:szCs w:val="24"/>
        </w:rPr>
        <w:t xml:space="preserve">The </w:t>
      </w:r>
      <w:r w:rsidRPr="002C3444">
        <w:rPr>
          <w:rFonts w:ascii="Times New Roman" w:hAnsi="Times New Roman" w:cs="Times New Roman"/>
          <w:i/>
          <w:sz w:val="24"/>
          <w:szCs w:val="24"/>
        </w:rPr>
        <w:t>G v A (Financial Remedy: Enforcement)</w:t>
      </w:r>
      <w:r w:rsidRPr="002C3444">
        <w:rPr>
          <w:rFonts w:ascii="Times New Roman" w:hAnsi="Times New Roman" w:cs="Times New Roman"/>
          <w:sz w:val="24"/>
          <w:szCs w:val="24"/>
        </w:rPr>
        <w:t xml:space="preserve"> saga</w:t>
      </w:r>
      <w:r w:rsidRPr="002C3444">
        <w:rPr>
          <w:rFonts w:ascii="Times New Roman" w:hAnsi="Times New Roman" w:cs="Times New Roman"/>
          <w:sz w:val="24"/>
          <w:szCs w:val="24"/>
          <w:vertAlign w:val="superscript"/>
        </w:rPr>
        <w:footnoteReference w:id="63"/>
      </w:r>
      <w:r w:rsidRPr="002C3444">
        <w:rPr>
          <w:rFonts w:ascii="Times New Roman" w:hAnsi="Times New Roman" w:cs="Times New Roman"/>
          <w:sz w:val="24"/>
          <w:szCs w:val="24"/>
        </w:rPr>
        <w:t xml:space="preserve">: The case involved over </w:t>
      </w:r>
      <w:r w:rsidRPr="002C3444">
        <w:rPr>
          <w:rFonts w:ascii="Times New Roman" w:hAnsi="Times New Roman" w:cs="Times New Roman"/>
          <w:i/>
          <w:sz w:val="24"/>
          <w:szCs w:val="24"/>
        </w:rPr>
        <w:t>eighty</w:t>
      </w:r>
      <w:r w:rsidRPr="002C3444">
        <w:rPr>
          <w:rFonts w:ascii="Times New Roman" w:hAnsi="Times New Roman" w:cs="Times New Roman"/>
          <w:sz w:val="24"/>
          <w:szCs w:val="24"/>
        </w:rPr>
        <w:t xml:space="preserve"> applic</w:t>
      </w:r>
      <w:r w:rsidR="002C3444">
        <w:rPr>
          <w:rFonts w:ascii="Times New Roman" w:hAnsi="Times New Roman" w:cs="Times New Roman"/>
          <w:sz w:val="24"/>
          <w:szCs w:val="24"/>
        </w:rPr>
        <w:t>ations by father; six by mother and a total of</w:t>
      </w:r>
      <w:r w:rsidRPr="002C3444">
        <w:rPr>
          <w:rFonts w:ascii="Times New Roman" w:hAnsi="Times New Roman" w:cs="Times New Roman"/>
          <w:sz w:val="24"/>
          <w:szCs w:val="24"/>
        </w:rPr>
        <w:t xml:space="preserve"> 25 judges. One order involved 16 pages of typed paper. The issue was the preparation of a trust deed governing ownership of a property for the use of a child purchased with an advance of £240,000. This led to a delay of six </w:t>
      </w:r>
      <w:r w:rsidRPr="002C3444">
        <w:rPr>
          <w:rFonts w:ascii="Times New Roman" w:hAnsi="Times New Roman" w:cs="Times New Roman"/>
          <w:i/>
          <w:sz w:val="24"/>
          <w:szCs w:val="24"/>
        </w:rPr>
        <w:t>years</w:t>
      </w:r>
      <w:r w:rsidRPr="002C3444">
        <w:rPr>
          <w:rFonts w:ascii="Times New Roman" w:hAnsi="Times New Roman" w:cs="Times New Roman"/>
          <w:sz w:val="24"/>
          <w:szCs w:val="24"/>
        </w:rPr>
        <w:t xml:space="preserve"> since the originating Sch. 1 order (when the child was 3).</w:t>
      </w:r>
    </w:p>
    <w:p w:rsidR="00070003" w:rsidRPr="002C3444" w:rsidRDefault="00070003" w:rsidP="00070003">
      <w:pPr>
        <w:numPr>
          <w:ilvl w:val="0"/>
          <w:numId w:val="21"/>
        </w:numPr>
        <w:spacing w:line="360" w:lineRule="auto"/>
        <w:contextualSpacing/>
        <w:jc w:val="both"/>
        <w:rPr>
          <w:rFonts w:ascii="Times New Roman" w:hAnsi="Times New Roman" w:cs="Times New Roman"/>
          <w:sz w:val="24"/>
          <w:szCs w:val="24"/>
          <w:u w:val="single"/>
        </w:rPr>
      </w:pPr>
      <w:r w:rsidRPr="002C3444">
        <w:rPr>
          <w:rFonts w:ascii="Times New Roman" w:hAnsi="Times New Roman" w:cs="Times New Roman"/>
          <w:i/>
          <w:sz w:val="24"/>
          <w:szCs w:val="24"/>
        </w:rPr>
        <w:t xml:space="preserve">G v </w:t>
      </w:r>
      <w:proofErr w:type="gramStart"/>
      <w:r w:rsidRPr="002C3444">
        <w:rPr>
          <w:rFonts w:ascii="Times New Roman" w:hAnsi="Times New Roman" w:cs="Times New Roman"/>
          <w:i/>
          <w:sz w:val="24"/>
          <w:szCs w:val="24"/>
        </w:rPr>
        <w:t>A</w:t>
      </w:r>
      <w:proofErr w:type="gramEnd"/>
      <w:r w:rsidRPr="002C3444">
        <w:rPr>
          <w:rFonts w:ascii="Times New Roman" w:hAnsi="Times New Roman" w:cs="Times New Roman"/>
          <w:i/>
          <w:sz w:val="24"/>
          <w:szCs w:val="24"/>
        </w:rPr>
        <w:t xml:space="preserve"> (No. 1</w:t>
      </w:r>
      <w:r w:rsidRPr="002C3444">
        <w:rPr>
          <w:rFonts w:ascii="Times New Roman" w:hAnsi="Times New Roman" w:cs="Times New Roman"/>
          <w:sz w:val="24"/>
          <w:szCs w:val="24"/>
        </w:rPr>
        <w:t>) [2012] 1 FLR 389: Order for payment to be made by fixed date, enabling court to ensure performance of trust.</w:t>
      </w:r>
    </w:p>
    <w:p w:rsidR="00070003" w:rsidRPr="002C3444" w:rsidRDefault="00070003" w:rsidP="00070003">
      <w:pPr>
        <w:numPr>
          <w:ilvl w:val="0"/>
          <w:numId w:val="21"/>
        </w:numPr>
        <w:spacing w:line="360" w:lineRule="auto"/>
        <w:contextualSpacing/>
        <w:jc w:val="both"/>
        <w:rPr>
          <w:rFonts w:ascii="Times New Roman" w:hAnsi="Times New Roman" w:cs="Times New Roman"/>
          <w:sz w:val="24"/>
          <w:szCs w:val="24"/>
          <w:u w:val="single"/>
        </w:rPr>
      </w:pPr>
      <w:r w:rsidRPr="002C3444">
        <w:rPr>
          <w:rFonts w:ascii="Times New Roman" w:hAnsi="Times New Roman" w:cs="Times New Roman"/>
          <w:i/>
          <w:sz w:val="24"/>
          <w:szCs w:val="24"/>
        </w:rPr>
        <w:t>G v A (No. 2</w:t>
      </w:r>
      <w:r w:rsidRPr="002C3444">
        <w:rPr>
          <w:rFonts w:ascii="Times New Roman" w:hAnsi="Times New Roman" w:cs="Times New Roman"/>
          <w:sz w:val="24"/>
          <w:szCs w:val="24"/>
        </w:rPr>
        <w:t>) [2012] 1 FLR 402: Freezing orders and disclosure orders on F breach (passport returned), with penal notice</w:t>
      </w:r>
    </w:p>
    <w:p w:rsidR="00070003" w:rsidRPr="002C3444" w:rsidRDefault="00070003" w:rsidP="00070003">
      <w:pPr>
        <w:numPr>
          <w:ilvl w:val="0"/>
          <w:numId w:val="21"/>
        </w:numPr>
        <w:spacing w:line="360" w:lineRule="auto"/>
        <w:contextualSpacing/>
        <w:jc w:val="both"/>
        <w:rPr>
          <w:rFonts w:ascii="Times New Roman" w:hAnsi="Times New Roman" w:cs="Times New Roman"/>
          <w:sz w:val="24"/>
          <w:szCs w:val="24"/>
          <w:u w:val="single"/>
        </w:rPr>
      </w:pPr>
      <w:r w:rsidRPr="002C3444">
        <w:rPr>
          <w:rFonts w:ascii="Times New Roman" w:hAnsi="Times New Roman" w:cs="Times New Roman"/>
          <w:i/>
          <w:sz w:val="24"/>
          <w:szCs w:val="24"/>
        </w:rPr>
        <w:t>G v A (No. 3</w:t>
      </w:r>
      <w:r w:rsidRPr="002C3444">
        <w:rPr>
          <w:rFonts w:ascii="Times New Roman" w:hAnsi="Times New Roman" w:cs="Times New Roman"/>
          <w:sz w:val="24"/>
          <w:szCs w:val="24"/>
        </w:rPr>
        <w:t xml:space="preserve">) [2012] 1 FLR 415: Rejected Dr </w:t>
      </w:r>
      <w:proofErr w:type="spellStart"/>
      <w:r w:rsidRPr="002C3444">
        <w:rPr>
          <w:rFonts w:ascii="Times New Roman" w:hAnsi="Times New Roman" w:cs="Times New Roman"/>
          <w:sz w:val="24"/>
          <w:szCs w:val="24"/>
        </w:rPr>
        <w:t>Pelling’s</w:t>
      </w:r>
      <w:proofErr w:type="spellEnd"/>
      <w:r w:rsidRPr="002C3444">
        <w:rPr>
          <w:rFonts w:ascii="Times New Roman" w:hAnsi="Times New Roman" w:cs="Times New Roman"/>
          <w:sz w:val="24"/>
          <w:szCs w:val="24"/>
        </w:rPr>
        <w:t xml:space="preserve"> submission that Family Division lost jurisdiction when trust deed drawn up (“inexhaustible pedantic ingenuity”). Court drafts its own order to replace trust deed.</w:t>
      </w:r>
    </w:p>
    <w:p w:rsidR="00070003" w:rsidRPr="002C3444" w:rsidRDefault="00070003" w:rsidP="00070003">
      <w:pPr>
        <w:numPr>
          <w:ilvl w:val="0"/>
          <w:numId w:val="21"/>
        </w:numPr>
        <w:spacing w:line="360" w:lineRule="auto"/>
        <w:contextualSpacing/>
        <w:jc w:val="both"/>
        <w:rPr>
          <w:rFonts w:ascii="Times New Roman" w:hAnsi="Times New Roman" w:cs="Times New Roman"/>
          <w:sz w:val="24"/>
          <w:szCs w:val="24"/>
          <w:u w:val="single"/>
        </w:rPr>
      </w:pPr>
      <w:r w:rsidRPr="002C3444">
        <w:rPr>
          <w:rFonts w:ascii="Times New Roman" w:hAnsi="Times New Roman" w:cs="Times New Roman"/>
          <w:i/>
          <w:sz w:val="24"/>
          <w:szCs w:val="24"/>
        </w:rPr>
        <w:lastRenderedPageBreak/>
        <w:t>G v A (No. 4</w:t>
      </w:r>
      <w:r w:rsidRPr="002C3444">
        <w:rPr>
          <w:rFonts w:ascii="Times New Roman" w:hAnsi="Times New Roman" w:cs="Times New Roman"/>
          <w:sz w:val="24"/>
          <w:szCs w:val="24"/>
        </w:rPr>
        <w:t xml:space="preserve">) [2012] 1 FLR 427: Authorised sole trustee to act (Dr </w:t>
      </w:r>
      <w:proofErr w:type="spellStart"/>
      <w:r w:rsidRPr="002C3444">
        <w:rPr>
          <w:rFonts w:ascii="Times New Roman" w:hAnsi="Times New Roman" w:cs="Times New Roman"/>
          <w:sz w:val="24"/>
          <w:szCs w:val="24"/>
        </w:rPr>
        <w:t>Pelling</w:t>
      </w:r>
      <w:proofErr w:type="spellEnd"/>
      <w:r w:rsidRPr="002C3444">
        <w:rPr>
          <w:rFonts w:ascii="Times New Roman" w:hAnsi="Times New Roman" w:cs="Times New Roman"/>
          <w:sz w:val="24"/>
          <w:szCs w:val="24"/>
        </w:rPr>
        <w:t xml:space="preserve"> having resigned as trustee)</w:t>
      </w:r>
    </w:p>
    <w:p w:rsidR="00070003" w:rsidRPr="002C3444" w:rsidRDefault="00070003" w:rsidP="00070003">
      <w:pPr>
        <w:spacing w:after="0" w:line="360" w:lineRule="auto"/>
        <w:jc w:val="both"/>
        <w:rPr>
          <w:rFonts w:ascii="Times New Roman" w:hAnsi="Times New Roman" w:cs="Times New Roman"/>
          <w:sz w:val="24"/>
          <w:szCs w:val="24"/>
        </w:rPr>
      </w:pPr>
    </w:p>
    <w:p w:rsidR="00070003" w:rsidRPr="002C3444" w:rsidRDefault="00070003" w:rsidP="00070003">
      <w:pPr>
        <w:spacing w:after="0" w:line="360" w:lineRule="auto"/>
        <w:jc w:val="both"/>
        <w:rPr>
          <w:rFonts w:ascii="Times New Roman" w:hAnsi="Times New Roman" w:cs="Times New Roman"/>
          <w:sz w:val="24"/>
          <w:szCs w:val="24"/>
        </w:rPr>
      </w:pPr>
    </w:p>
    <w:p w:rsidR="00070003" w:rsidRPr="002C3444" w:rsidRDefault="00070003" w:rsidP="00070003">
      <w:pPr>
        <w:rPr>
          <w:rFonts w:ascii="Times New Roman" w:hAnsi="Times New Roman" w:cs="Times New Roman"/>
        </w:rPr>
      </w:pPr>
    </w:p>
    <w:p w:rsidR="00070003" w:rsidRPr="002C3444" w:rsidRDefault="00070003" w:rsidP="00070003">
      <w:pPr>
        <w:rPr>
          <w:rFonts w:ascii="Times New Roman" w:hAnsi="Times New Roman" w:cs="Times New Roman"/>
        </w:rPr>
      </w:pPr>
    </w:p>
    <w:tbl>
      <w:tblPr>
        <w:tblStyle w:val="TableGrid"/>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394"/>
      </w:tblGrid>
      <w:tr w:rsidR="00070003" w:rsidRPr="002C3444" w:rsidTr="00D64665">
        <w:tc>
          <w:tcPr>
            <w:tcW w:w="4928" w:type="dxa"/>
          </w:tcPr>
          <w:p w:rsidR="00070003" w:rsidRPr="002C3444" w:rsidRDefault="00070003" w:rsidP="00D64665">
            <w:pPr>
              <w:spacing w:line="360" w:lineRule="auto"/>
              <w:jc w:val="right"/>
              <w:rPr>
                <w:sz w:val="24"/>
                <w:szCs w:val="24"/>
              </w:rPr>
            </w:pPr>
          </w:p>
        </w:tc>
        <w:tc>
          <w:tcPr>
            <w:tcW w:w="4394" w:type="dxa"/>
          </w:tcPr>
          <w:p w:rsidR="00070003" w:rsidRPr="002C3444" w:rsidRDefault="00070003" w:rsidP="00D64665">
            <w:pPr>
              <w:spacing w:line="360" w:lineRule="auto"/>
              <w:rPr>
                <w:sz w:val="24"/>
                <w:szCs w:val="24"/>
              </w:rPr>
            </w:pPr>
            <w:r w:rsidRPr="002C3444">
              <w:rPr>
                <w:sz w:val="24"/>
                <w:szCs w:val="24"/>
              </w:rPr>
              <w:t>Alexander Chandler and Nicola Fox</w:t>
            </w:r>
          </w:p>
        </w:tc>
      </w:tr>
      <w:tr w:rsidR="00070003" w:rsidRPr="002C3444" w:rsidTr="00D64665">
        <w:tc>
          <w:tcPr>
            <w:tcW w:w="4928" w:type="dxa"/>
          </w:tcPr>
          <w:p w:rsidR="00070003" w:rsidRPr="002C3444" w:rsidRDefault="00070003" w:rsidP="00D64665">
            <w:pPr>
              <w:spacing w:line="360" w:lineRule="auto"/>
              <w:jc w:val="right"/>
              <w:rPr>
                <w:sz w:val="24"/>
                <w:szCs w:val="24"/>
              </w:rPr>
            </w:pPr>
          </w:p>
        </w:tc>
        <w:tc>
          <w:tcPr>
            <w:tcW w:w="4394" w:type="dxa"/>
          </w:tcPr>
          <w:p w:rsidR="00070003" w:rsidRPr="002C3444" w:rsidRDefault="00070003" w:rsidP="00D64665">
            <w:pPr>
              <w:spacing w:line="360" w:lineRule="auto"/>
              <w:rPr>
                <w:sz w:val="24"/>
                <w:szCs w:val="24"/>
              </w:rPr>
            </w:pPr>
            <w:r w:rsidRPr="002C3444">
              <w:rPr>
                <w:sz w:val="24"/>
                <w:szCs w:val="24"/>
              </w:rPr>
              <w:t>1 Garden Court, Temple, London</w:t>
            </w:r>
          </w:p>
        </w:tc>
      </w:tr>
      <w:tr w:rsidR="00070003" w:rsidRPr="002C3444" w:rsidTr="00D64665">
        <w:tc>
          <w:tcPr>
            <w:tcW w:w="4928" w:type="dxa"/>
          </w:tcPr>
          <w:p w:rsidR="00070003" w:rsidRPr="002C3444" w:rsidRDefault="00070003" w:rsidP="00D64665">
            <w:pPr>
              <w:spacing w:line="360" w:lineRule="auto"/>
              <w:jc w:val="right"/>
              <w:rPr>
                <w:sz w:val="24"/>
                <w:szCs w:val="24"/>
              </w:rPr>
            </w:pPr>
          </w:p>
        </w:tc>
        <w:tc>
          <w:tcPr>
            <w:tcW w:w="4394" w:type="dxa"/>
          </w:tcPr>
          <w:p w:rsidR="00070003" w:rsidRPr="002C3444" w:rsidRDefault="00070003" w:rsidP="00D64665">
            <w:pPr>
              <w:spacing w:line="360" w:lineRule="auto"/>
              <w:rPr>
                <w:sz w:val="24"/>
                <w:szCs w:val="24"/>
              </w:rPr>
            </w:pPr>
            <w:r w:rsidRPr="002C3444">
              <w:rPr>
                <w:sz w:val="24"/>
                <w:szCs w:val="24"/>
              </w:rPr>
              <w:t>020 7797 7900</w:t>
            </w:r>
          </w:p>
        </w:tc>
      </w:tr>
      <w:tr w:rsidR="00070003" w:rsidRPr="002C3444" w:rsidTr="00D64665">
        <w:tc>
          <w:tcPr>
            <w:tcW w:w="4928" w:type="dxa"/>
          </w:tcPr>
          <w:p w:rsidR="00070003" w:rsidRPr="002C3444" w:rsidRDefault="00070003" w:rsidP="00D64665">
            <w:pPr>
              <w:spacing w:line="360" w:lineRule="auto"/>
              <w:jc w:val="right"/>
              <w:rPr>
                <w:sz w:val="24"/>
                <w:szCs w:val="24"/>
              </w:rPr>
            </w:pPr>
          </w:p>
        </w:tc>
        <w:tc>
          <w:tcPr>
            <w:tcW w:w="4394" w:type="dxa"/>
          </w:tcPr>
          <w:p w:rsidR="00070003" w:rsidRPr="002C3444" w:rsidRDefault="00070003" w:rsidP="00D64665">
            <w:pPr>
              <w:spacing w:line="360" w:lineRule="auto"/>
              <w:rPr>
                <w:sz w:val="24"/>
                <w:szCs w:val="24"/>
              </w:rPr>
            </w:pPr>
          </w:p>
          <w:p w:rsidR="00070003" w:rsidRPr="002C3444" w:rsidRDefault="00057D16" w:rsidP="00D64665">
            <w:pPr>
              <w:spacing w:line="360" w:lineRule="auto"/>
              <w:rPr>
                <w:sz w:val="24"/>
                <w:szCs w:val="24"/>
              </w:rPr>
            </w:pPr>
            <w:hyperlink r:id="rId8" w:history="1">
              <w:r w:rsidR="00070003" w:rsidRPr="002C3444">
                <w:rPr>
                  <w:rStyle w:val="Hyperlink"/>
                  <w:sz w:val="24"/>
                  <w:szCs w:val="24"/>
                </w:rPr>
                <w:t>chandler@1gc.com</w:t>
              </w:r>
            </w:hyperlink>
          </w:p>
          <w:p w:rsidR="00070003" w:rsidRPr="002C3444" w:rsidRDefault="00057D16" w:rsidP="00D64665">
            <w:pPr>
              <w:spacing w:line="360" w:lineRule="auto"/>
              <w:rPr>
                <w:sz w:val="24"/>
                <w:szCs w:val="24"/>
              </w:rPr>
            </w:pPr>
            <w:hyperlink r:id="rId9" w:history="1">
              <w:r w:rsidR="00070003" w:rsidRPr="002C3444">
                <w:rPr>
                  <w:rStyle w:val="Hyperlink"/>
                  <w:sz w:val="24"/>
                  <w:szCs w:val="24"/>
                </w:rPr>
                <w:t>fox@1gc.com</w:t>
              </w:r>
            </w:hyperlink>
            <w:r w:rsidR="00070003" w:rsidRPr="002C3444">
              <w:rPr>
                <w:sz w:val="24"/>
                <w:szCs w:val="24"/>
              </w:rPr>
              <w:t xml:space="preserve"> </w:t>
            </w:r>
          </w:p>
        </w:tc>
      </w:tr>
    </w:tbl>
    <w:p w:rsidR="002B1E45" w:rsidRDefault="002B1E45" w:rsidP="002C3444">
      <w:pPr>
        <w:rPr>
          <w:rFonts w:ascii="Times New Roman" w:hAnsi="Times New Roman" w:cs="Times New Roman"/>
          <w:sz w:val="72"/>
          <w:szCs w:val="72"/>
        </w:rPr>
      </w:pPr>
    </w:p>
    <w:p w:rsidR="002B1E45" w:rsidRPr="002B1E45" w:rsidRDefault="002B1E45" w:rsidP="002B1E45">
      <w:pPr>
        <w:rPr>
          <w:rFonts w:ascii="Times New Roman" w:hAnsi="Times New Roman" w:cs="Times New Roman"/>
          <w:sz w:val="72"/>
          <w:szCs w:val="72"/>
        </w:rPr>
      </w:pPr>
    </w:p>
    <w:p w:rsidR="002B1E45" w:rsidRPr="002B1E45" w:rsidRDefault="002B1E45" w:rsidP="002B1E45">
      <w:pPr>
        <w:rPr>
          <w:rFonts w:ascii="Times New Roman" w:hAnsi="Times New Roman" w:cs="Times New Roman"/>
          <w:sz w:val="72"/>
          <w:szCs w:val="72"/>
        </w:rPr>
      </w:pPr>
    </w:p>
    <w:p w:rsidR="002B1E45" w:rsidRDefault="002B1E45" w:rsidP="002B1E45">
      <w:pPr>
        <w:rPr>
          <w:rFonts w:ascii="Times New Roman" w:hAnsi="Times New Roman" w:cs="Times New Roman"/>
          <w:sz w:val="72"/>
          <w:szCs w:val="72"/>
        </w:rPr>
      </w:pPr>
    </w:p>
    <w:p w:rsidR="002B1E45" w:rsidRDefault="002B1E45" w:rsidP="002B1E45">
      <w:pPr>
        <w:rPr>
          <w:rFonts w:ascii="Times New Roman" w:hAnsi="Times New Roman" w:cs="Times New Roman"/>
          <w:sz w:val="72"/>
          <w:szCs w:val="72"/>
        </w:rPr>
      </w:pPr>
    </w:p>
    <w:p w:rsidR="007D3393" w:rsidRPr="002B1E45" w:rsidRDefault="002B1E45" w:rsidP="002B1E45">
      <w:pPr>
        <w:tabs>
          <w:tab w:val="left" w:pos="7688"/>
        </w:tabs>
        <w:rPr>
          <w:rFonts w:ascii="Times New Roman" w:hAnsi="Times New Roman" w:cs="Times New Roman"/>
          <w:sz w:val="72"/>
          <w:szCs w:val="72"/>
        </w:rPr>
      </w:pPr>
      <w:r>
        <w:rPr>
          <w:rFonts w:ascii="Times New Roman" w:hAnsi="Times New Roman" w:cs="Times New Roman"/>
          <w:sz w:val="72"/>
          <w:szCs w:val="72"/>
        </w:rPr>
        <w:tab/>
      </w:r>
      <w:bookmarkStart w:id="0" w:name="_GoBack"/>
      <w:bookmarkEnd w:id="0"/>
    </w:p>
    <w:sectPr w:rsidR="007D3393" w:rsidRPr="002B1E45" w:rsidSect="009A76FB">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7D16" w:rsidRDefault="00057D16" w:rsidP="00792DA2">
      <w:pPr>
        <w:spacing w:after="0" w:line="240" w:lineRule="auto"/>
      </w:pPr>
      <w:r>
        <w:separator/>
      </w:r>
    </w:p>
  </w:endnote>
  <w:endnote w:type="continuationSeparator" w:id="0">
    <w:p w:rsidR="00057D16" w:rsidRDefault="00057D16" w:rsidP="00792D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0B3A" w:rsidRDefault="00B30B3A" w:rsidP="00792DA2">
    <w:pPr>
      <w:pStyle w:val="Footer"/>
      <w:jc w:val="right"/>
      <w:rPr>
        <w:sz w:val="18"/>
        <w:szCs w:val="18"/>
      </w:rPr>
    </w:pPr>
    <w:r>
      <w:rPr>
        <w:sz w:val="18"/>
        <w:szCs w:val="18"/>
      </w:rPr>
      <w:t>(c) Alexander Chandler and Nicola Fox</w:t>
    </w:r>
  </w:p>
  <w:p w:rsidR="00792DA2" w:rsidRPr="00792DA2" w:rsidRDefault="00792DA2" w:rsidP="00792DA2">
    <w:pPr>
      <w:pStyle w:val="Footer"/>
      <w:jc w:val="right"/>
      <w:rPr>
        <w:sz w:val="18"/>
        <w:szCs w:val="18"/>
      </w:rPr>
    </w:pPr>
    <w:r w:rsidRPr="00792DA2">
      <w:rPr>
        <w:sz w:val="18"/>
        <w:szCs w:val="18"/>
      </w:rPr>
      <w:t>Resolution 25</w:t>
    </w:r>
    <w:r w:rsidRPr="00792DA2">
      <w:rPr>
        <w:sz w:val="18"/>
        <w:szCs w:val="18"/>
        <w:vertAlign w:val="superscript"/>
      </w:rPr>
      <w:t>th</w:t>
    </w:r>
    <w:r w:rsidRPr="00792DA2">
      <w:rPr>
        <w:sz w:val="18"/>
        <w:szCs w:val="18"/>
      </w:rPr>
      <w:t xml:space="preserve"> National Conference – 12 &amp; 13 April 2013</w:t>
    </w:r>
  </w:p>
  <w:p w:rsidR="00792DA2" w:rsidRDefault="00792DA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7D16" w:rsidRDefault="00057D16" w:rsidP="00792DA2">
      <w:pPr>
        <w:spacing w:after="0" w:line="240" w:lineRule="auto"/>
      </w:pPr>
      <w:r>
        <w:separator/>
      </w:r>
    </w:p>
  </w:footnote>
  <w:footnote w:type="continuationSeparator" w:id="0">
    <w:p w:rsidR="00057D16" w:rsidRDefault="00057D16" w:rsidP="00792DA2">
      <w:pPr>
        <w:spacing w:after="0" w:line="240" w:lineRule="auto"/>
      </w:pPr>
      <w:r>
        <w:continuationSeparator/>
      </w:r>
    </w:p>
  </w:footnote>
  <w:footnote w:id="1">
    <w:p w:rsidR="00070003" w:rsidRPr="000A3A43" w:rsidRDefault="00070003" w:rsidP="00070003">
      <w:pPr>
        <w:pStyle w:val="ListParagraph"/>
        <w:spacing w:after="0" w:line="240" w:lineRule="auto"/>
        <w:ind w:left="0" w:right="-1"/>
        <w:jc w:val="both"/>
        <w:rPr>
          <w:rFonts w:ascii="Times New Roman" w:hAnsi="Times New Roman" w:cs="Times New Roman"/>
        </w:rPr>
      </w:pPr>
      <w:r w:rsidRPr="000A3A43">
        <w:rPr>
          <w:rStyle w:val="FootnoteReference"/>
          <w:rFonts w:ascii="Times New Roman" w:hAnsi="Times New Roman" w:cs="Times New Roman"/>
          <w:sz w:val="20"/>
          <w:szCs w:val="20"/>
        </w:rPr>
        <w:footnoteRef/>
      </w:r>
      <w:r w:rsidRPr="000A3A43">
        <w:rPr>
          <w:rFonts w:ascii="Times New Roman" w:hAnsi="Times New Roman" w:cs="Times New Roman"/>
          <w:sz w:val="20"/>
          <w:szCs w:val="20"/>
        </w:rPr>
        <w:t xml:space="preserve"> Providing that, with exceptions (see below) “…no court shall exercise any power which it would otherwise have to make, vary or revive any maintenance order in relation to the child”. </w:t>
      </w:r>
    </w:p>
  </w:footnote>
  <w:footnote w:id="2">
    <w:p w:rsidR="00070003" w:rsidRPr="000A3A43" w:rsidRDefault="00070003" w:rsidP="00070003">
      <w:pPr>
        <w:pStyle w:val="FootnoteText"/>
        <w:jc w:val="both"/>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For a recent case that fell </w:t>
      </w:r>
      <w:proofErr w:type="spellStart"/>
      <w:r w:rsidRPr="000A3A43">
        <w:rPr>
          <w:rFonts w:ascii="Times New Roman" w:hAnsi="Times New Roman" w:cs="Times New Roman"/>
        </w:rPr>
        <w:t>foul</w:t>
      </w:r>
      <w:proofErr w:type="spellEnd"/>
      <w:r w:rsidRPr="000A3A43">
        <w:rPr>
          <w:rFonts w:ascii="Times New Roman" w:hAnsi="Times New Roman" w:cs="Times New Roman"/>
        </w:rPr>
        <w:t xml:space="preserve"> of this provision, see </w:t>
      </w:r>
      <w:r w:rsidRPr="000A3A43">
        <w:rPr>
          <w:rFonts w:ascii="Times New Roman" w:eastAsia="Times New Roman" w:hAnsi="Times New Roman" w:cs="Times New Roman"/>
          <w:i/>
        </w:rPr>
        <w:t>PK v BC (Financial Remedies: Schedule 1)</w:t>
      </w:r>
      <w:r w:rsidRPr="000A3A43">
        <w:rPr>
          <w:rFonts w:ascii="Times New Roman" w:eastAsia="Times New Roman" w:hAnsi="Times New Roman" w:cs="Times New Roman"/>
        </w:rPr>
        <w:t xml:space="preserve"> [2012] EWHC 1382; [2012] 2 FLR 1426</w:t>
      </w:r>
    </w:p>
  </w:footnote>
  <w:footnote w:id="3">
    <w:p w:rsidR="00070003" w:rsidRDefault="00070003" w:rsidP="00070003">
      <w:pPr>
        <w:pStyle w:val="FootnoteText"/>
        <w:jc w:val="both"/>
      </w:pPr>
      <w:r w:rsidRPr="000A3A43">
        <w:rPr>
          <w:rStyle w:val="FootnoteReference"/>
          <w:rFonts w:ascii="Times New Roman" w:hAnsi="Times New Roman" w:cs="Times New Roman"/>
        </w:rPr>
        <w:footnoteRef/>
      </w:r>
      <w:r w:rsidRPr="000A3A43">
        <w:rPr>
          <w:rFonts w:ascii="Times New Roman" w:hAnsi="Times New Roman" w:cs="Times New Roman"/>
        </w:rPr>
        <w:t xml:space="preserve"> As to which, see PITFALL at para. 17 (below)</w:t>
      </w:r>
    </w:p>
  </w:footnote>
  <w:footnote w:id="4">
    <w:p w:rsidR="00070003" w:rsidRPr="00DA7997" w:rsidRDefault="00070003" w:rsidP="00070003">
      <w:pPr>
        <w:pStyle w:val="FootnoteText"/>
        <w:rPr>
          <w:rFonts w:ascii="Times New Roman" w:hAnsi="Times New Roman" w:cs="Times New Roman"/>
        </w:rPr>
      </w:pPr>
      <w:r w:rsidRPr="00DA7997">
        <w:rPr>
          <w:rStyle w:val="FootnoteReference"/>
          <w:rFonts w:ascii="Times New Roman" w:hAnsi="Times New Roman" w:cs="Times New Roman"/>
        </w:rPr>
        <w:footnoteRef/>
      </w:r>
      <w:r w:rsidRPr="00DA7997">
        <w:rPr>
          <w:rFonts w:ascii="Times New Roman" w:hAnsi="Times New Roman" w:cs="Times New Roman"/>
        </w:rPr>
        <w:t xml:space="preserve"> i.e. </w:t>
      </w:r>
      <w:r>
        <w:rPr>
          <w:rFonts w:ascii="Times New Roman" w:hAnsi="Times New Roman" w:cs="Times New Roman"/>
        </w:rPr>
        <w:t>a Schedule 1 claim, which is a ‘financial remedy’ for the purposes of Part 9, does not come within the classification of ‘financial remedy proceedings’ for the purposes of Part 28.3(5) – see definition at Part 28.3(4)(b) and 28PD, 4.2</w:t>
      </w:r>
    </w:p>
  </w:footnote>
  <w:footnote w:id="5">
    <w:p w:rsidR="00070003" w:rsidRPr="000A3A43" w:rsidRDefault="00070003" w:rsidP="00070003">
      <w:pPr>
        <w:pStyle w:val="FootnoteText"/>
        <w:jc w:val="both"/>
        <w:rPr>
          <w:rFonts w:ascii="Times New Roman" w:hAnsi="Times New Roman" w:cs="Times New Roman"/>
          <w:i/>
        </w:rPr>
      </w:pPr>
      <w:r w:rsidRPr="000A3A43">
        <w:rPr>
          <w:rStyle w:val="FootnoteReference"/>
          <w:rFonts w:ascii="Times New Roman" w:hAnsi="Times New Roman" w:cs="Times New Roman"/>
        </w:rPr>
        <w:footnoteRef/>
      </w:r>
      <w:r w:rsidRPr="000A3A43">
        <w:rPr>
          <w:rFonts w:ascii="Times New Roman" w:hAnsi="Times New Roman" w:cs="Times New Roman"/>
        </w:rPr>
        <w:t xml:space="preserve"> This change was foreshadowed by CA decision in </w:t>
      </w:r>
      <w:r w:rsidRPr="000A3A43">
        <w:rPr>
          <w:rFonts w:ascii="Times New Roman" w:hAnsi="Times New Roman" w:cs="Times New Roman"/>
          <w:i/>
        </w:rPr>
        <w:t xml:space="preserve">Morgan v Hill </w:t>
      </w:r>
      <w:r w:rsidRPr="000A3A43">
        <w:rPr>
          <w:rFonts w:ascii="Times New Roman" w:hAnsi="Times New Roman" w:cs="Times New Roman"/>
        </w:rPr>
        <w:t xml:space="preserve">[2006] EWCA </w:t>
      </w:r>
      <w:proofErr w:type="spellStart"/>
      <w:r w:rsidRPr="000A3A43">
        <w:rPr>
          <w:rFonts w:ascii="Times New Roman" w:hAnsi="Times New Roman" w:cs="Times New Roman"/>
        </w:rPr>
        <w:t>Civ</w:t>
      </w:r>
      <w:proofErr w:type="spellEnd"/>
      <w:r w:rsidRPr="000A3A43">
        <w:rPr>
          <w:rFonts w:ascii="Times New Roman" w:hAnsi="Times New Roman" w:cs="Times New Roman"/>
        </w:rPr>
        <w:t xml:space="preserve"> 1602; [2007] 1 FLR 1480 at [53]: in complicated Schedule 1 cases the parties should complete Forms E. </w:t>
      </w:r>
      <w:r w:rsidRPr="000A3A43">
        <w:rPr>
          <w:rFonts w:ascii="Times New Roman" w:hAnsi="Times New Roman" w:cs="Times New Roman"/>
          <w:i/>
        </w:rPr>
        <w:t>Might ground an argument for a “full” Form E rather than Form E1</w:t>
      </w:r>
    </w:p>
  </w:footnote>
  <w:footnote w:id="6">
    <w:p w:rsidR="00070003" w:rsidRDefault="00070003" w:rsidP="00070003">
      <w:pPr>
        <w:pStyle w:val="NoSpacing"/>
        <w:jc w:val="both"/>
      </w:pPr>
      <w:r w:rsidRPr="000A3A43">
        <w:rPr>
          <w:rStyle w:val="FootnoteReference"/>
          <w:sz w:val="20"/>
          <w:szCs w:val="20"/>
        </w:rPr>
        <w:footnoteRef/>
      </w:r>
      <w:r w:rsidRPr="000A3A43">
        <w:rPr>
          <w:sz w:val="20"/>
          <w:szCs w:val="20"/>
        </w:rPr>
        <w:t xml:space="preserve"> See PD 9A, para. 4.1: Para. 4.1 of FPR PD 9A invites the following: </w:t>
      </w:r>
      <w:r w:rsidRPr="000A3A43">
        <w:rPr>
          <w:i/>
          <w:sz w:val="20"/>
          <w:szCs w:val="20"/>
        </w:rPr>
        <w:t>‘In addition to the matters listed at rule 9.14(5), the parties should, if possible, with a view to identifying and narrowing any issues between the parties, exchange and file with the court – (a) a summary of the case agreed between the parties; (b) a schedule of assets agreed between the parties; and (c) details of any directions that they seek, including, where appropriate, the name of any expert they wish to be appointed; 4.2 Where a party is prevented from sending [draft directions] … the party should make that information available at the first appointment.’</w:t>
      </w:r>
    </w:p>
  </w:footnote>
  <w:footnote w:id="7">
    <w:p w:rsidR="002B1E45" w:rsidRPr="000A3A43" w:rsidRDefault="002B1E45" w:rsidP="002B1E45">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Schedule 1 Children Act, paragraph 1(1)(b)</w:t>
      </w:r>
    </w:p>
  </w:footnote>
  <w:footnote w:id="8">
    <w:p w:rsidR="00070003" w:rsidRPr="000A3A43" w:rsidRDefault="00070003" w:rsidP="00070003">
      <w:pPr>
        <w:pStyle w:val="FootnoteText"/>
        <w:jc w:val="both"/>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w:t>
      </w:r>
      <w:hyperlink r:id="rId1" w:history="1">
        <w:r w:rsidRPr="000A3A43">
          <w:rPr>
            <w:rStyle w:val="Hyperlink"/>
            <w:rFonts w:ascii="Times New Roman" w:hAnsi="Times New Roman" w:cs="Times New Roman"/>
          </w:rPr>
          <w:t>http://www.legislation.gov.uk/uksi/2012/3061/schedule/made</w:t>
        </w:r>
      </w:hyperlink>
      <w:r w:rsidRPr="000A3A43">
        <w:rPr>
          <w:rFonts w:ascii="Times New Roman" w:hAnsi="Times New Roman" w:cs="Times New Roman"/>
        </w:rPr>
        <w:t xml:space="preserve"> </w:t>
      </w:r>
    </w:p>
  </w:footnote>
  <w:footnote w:id="9">
    <w:p w:rsidR="00070003" w:rsidRPr="000A3A43" w:rsidRDefault="00070003" w:rsidP="00070003">
      <w:pPr>
        <w:pStyle w:val="FootnoteText"/>
        <w:jc w:val="both"/>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w:t>
      </w:r>
      <w:hyperlink r:id="rId2" w:history="1">
        <w:r w:rsidRPr="000A3A43">
          <w:rPr>
            <w:rStyle w:val="Hyperlink"/>
            <w:rFonts w:ascii="Times New Roman" w:hAnsi="Times New Roman" w:cs="Times New Roman"/>
          </w:rPr>
          <w:t>http://www.judiciary.gov.uk/Resources/JCO/Documents/Practice%20Directions/family-div-procedure-rules-2010-practice-directions-amendments-consolidated-04122012.pdf</w:t>
        </w:r>
      </w:hyperlink>
      <w:r w:rsidRPr="000A3A43">
        <w:rPr>
          <w:rFonts w:ascii="Times New Roman" w:hAnsi="Times New Roman" w:cs="Times New Roman"/>
        </w:rPr>
        <w:t xml:space="preserve"> </w:t>
      </w:r>
    </w:p>
  </w:footnote>
  <w:footnote w:id="10">
    <w:p w:rsidR="00070003" w:rsidRPr="000A3A43" w:rsidRDefault="00070003" w:rsidP="00070003">
      <w:pPr>
        <w:pStyle w:val="FootnoteText"/>
        <w:jc w:val="both"/>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Several of which relate to children proceedings – PD 25D relates to financial remedy claims</w:t>
      </w:r>
    </w:p>
  </w:footnote>
  <w:footnote w:id="11">
    <w:p w:rsidR="00070003" w:rsidRDefault="00070003" w:rsidP="00070003">
      <w:pPr>
        <w:pStyle w:val="FootnoteText"/>
        <w:jc w:val="both"/>
      </w:pPr>
      <w:r w:rsidRPr="000A3A43">
        <w:rPr>
          <w:rStyle w:val="FootnoteReference"/>
          <w:rFonts w:ascii="Times New Roman" w:hAnsi="Times New Roman" w:cs="Times New Roman"/>
        </w:rPr>
        <w:footnoteRef/>
      </w:r>
      <w:r w:rsidRPr="000A3A43">
        <w:rPr>
          <w:rFonts w:ascii="Times New Roman" w:hAnsi="Times New Roman" w:cs="Times New Roman"/>
        </w:rPr>
        <w:t xml:space="preserve"> The definition of which does not include a Sch. 1 claim: see FPR 25.2</w:t>
      </w:r>
    </w:p>
  </w:footnote>
  <w:footnote w:id="12">
    <w:p w:rsidR="002C3444" w:rsidRPr="002C3444" w:rsidRDefault="002C3444" w:rsidP="002C3444">
      <w:pPr>
        <w:pStyle w:val="FootnoteText"/>
        <w:rPr>
          <w:rFonts w:ascii="Times New Roman" w:hAnsi="Times New Roman" w:cs="Times New Roman"/>
        </w:rPr>
      </w:pPr>
      <w:r w:rsidRPr="002C3444">
        <w:rPr>
          <w:rStyle w:val="FootnoteReference"/>
          <w:rFonts w:ascii="Times New Roman" w:hAnsi="Times New Roman" w:cs="Times New Roman"/>
        </w:rPr>
        <w:footnoteRef/>
      </w:r>
      <w:r w:rsidRPr="002C3444">
        <w:rPr>
          <w:rFonts w:ascii="Times New Roman" w:hAnsi="Times New Roman" w:cs="Times New Roman"/>
        </w:rPr>
        <w:t xml:space="preserve"> </w:t>
      </w:r>
      <w:r w:rsidRPr="002C3444">
        <w:rPr>
          <w:rFonts w:ascii="Times New Roman" w:hAnsi="Times New Roman" w:cs="Times New Roman"/>
          <w:i/>
        </w:rPr>
        <w:t xml:space="preserve">A v A (Maintenance Pending Suit: Provision for Legal Fees) </w:t>
      </w:r>
      <w:r w:rsidRPr="002C3444">
        <w:rPr>
          <w:rFonts w:ascii="Times New Roman" w:hAnsi="Times New Roman" w:cs="Times New Roman"/>
        </w:rPr>
        <w:t>[2001] 1 FLR 377</w:t>
      </w:r>
    </w:p>
  </w:footnote>
  <w:footnote w:id="13">
    <w:p w:rsidR="002C3444" w:rsidRDefault="002C3444" w:rsidP="002C3444">
      <w:pPr>
        <w:pStyle w:val="FootnoteText"/>
      </w:pPr>
      <w:r w:rsidRPr="002C3444">
        <w:rPr>
          <w:rStyle w:val="FootnoteReference"/>
          <w:rFonts w:ascii="Times New Roman" w:hAnsi="Times New Roman" w:cs="Times New Roman"/>
        </w:rPr>
        <w:footnoteRef/>
      </w:r>
      <w:r w:rsidRPr="002C3444">
        <w:rPr>
          <w:rFonts w:ascii="Times New Roman" w:hAnsi="Times New Roman" w:cs="Times New Roman"/>
        </w:rPr>
        <w:t xml:space="preserve"> </w:t>
      </w:r>
      <w:r w:rsidRPr="002C3444">
        <w:rPr>
          <w:rFonts w:ascii="Times New Roman" w:eastAsia="Times New Roman" w:hAnsi="Times New Roman" w:cs="Times New Roman"/>
        </w:rPr>
        <w:t>cf. s. 8(3) of the Child Support Act 1991</w:t>
      </w:r>
    </w:p>
  </w:footnote>
  <w:footnote w:id="14">
    <w:p w:rsidR="00070003" w:rsidRPr="000A3A43" w:rsidRDefault="00070003" w:rsidP="00070003">
      <w:pPr>
        <w:pStyle w:val="FootnoteText"/>
        <w:jc w:val="both"/>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See FPR 28.1 and 28.2</w:t>
      </w:r>
    </w:p>
  </w:footnote>
  <w:footnote w:id="15">
    <w:p w:rsidR="00070003" w:rsidRPr="000A3A43" w:rsidRDefault="00070003" w:rsidP="00070003">
      <w:pPr>
        <w:pStyle w:val="FootnoteText"/>
        <w:jc w:val="both"/>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See FPR 28.2 “…without rules 44.3(2) and (3), </w:t>
      </w:r>
    </w:p>
  </w:footnote>
  <w:footnote w:id="16">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CA </w:t>
      </w:r>
      <w:proofErr w:type="spellStart"/>
      <w:r w:rsidRPr="000A3A43">
        <w:rPr>
          <w:rFonts w:ascii="Times New Roman" w:hAnsi="Times New Roman" w:cs="Times New Roman"/>
        </w:rPr>
        <w:t>Sch</w:t>
      </w:r>
      <w:proofErr w:type="spellEnd"/>
      <w:r w:rsidRPr="000A3A43">
        <w:rPr>
          <w:rFonts w:ascii="Times New Roman" w:hAnsi="Times New Roman" w:cs="Times New Roman"/>
        </w:rPr>
        <w:t xml:space="preserve"> 1, para. 16(2): </w:t>
      </w:r>
      <w:r w:rsidRPr="000A3A43">
        <w:rPr>
          <w:rFonts w:ascii="Times New Roman" w:eastAsia="Times New Roman" w:hAnsi="Times New Roman" w:cs="Times New Roman"/>
        </w:rPr>
        <w:t>although in that case, surely the obvious recourse would be ancillary relief?</w:t>
      </w:r>
    </w:p>
  </w:footnote>
  <w:footnote w:id="17">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In practice this often means until completion of tertiary education and may include a gap year; </w:t>
      </w:r>
      <w:r w:rsidRPr="000A3A43">
        <w:rPr>
          <w:rFonts w:ascii="Times New Roman" w:hAnsi="Times New Roman" w:cs="Times New Roman"/>
          <w:i/>
        </w:rPr>
        <w:t>Re N (Payments for the benefit of a child)</w:t>
      </w:r>
      <w:r w:rsidRPr="000A3A43">
        <w:rPr>
          <w:rFonts w:ascii="Times New Roman" w:hAnsi="Times New Roman" w:cs="Times New Roman"/>
        </w:rPr>
        <w:t xml:space="preserve"> [2009] 1 FLR 1442</w:t>
      </w:r>
    </w:p>
  </w:footnote>
  <w:footnote w:id="18">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See </w:t>
      </w:r>
      <w:r w:rsidRPr="000A3A43">
        <w:rPr>
          <w:rFonts w:ascii="Times New Roman" w:hAnsi="Times New Roman" w:cs="Times New Roman"/>
          <w:i/>
        </w:rPr>
        <w:t xml:space="preserve">C v F (Disabled Child Maintenance Orders) </w:t>
      </w:r>
      <w:r w:rsidRPr="000A3A43">
        <w:rPr>
          <w:rFonts w:ascii="Times New Roman" w:hAnsi="Times New Roman" w:cs="Times New Roman"/>
        </w:rPr>
        <w:t>[1998] 2 FLR 1</w:t>
      </w:r>
    </w:p>
  </w:footnote>
  <w:footnote w:id="19">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CA </w:t>
      </w:r>
      <w:proofErr w:type="spellStart"/>
      <w:r w:rsidRPr="000A3A43">
        <w:rPr>
          <w:rFonts w:ascii="Times New Roman" w:hAnsi="Times New Roman" w:cs="Times New Roman"/>
        </w:rPr>
        <w:t>Sch</w:t>
      </w:r>
      <w:proofErr w:type="spellEnd"/>
      <w:r w:rsidRPr="000A3A43">
        <w:rPr>
          <w:rFonts w:ascii="Times New Roman" w:hAnsi="Times New Roman" w:cs="Times New Roman"/>
        </w:rPr>
        <w:t xml:space="preserve"> 1, para. 2(3)</w:t>
      </w:r>
    </w:p>
  </w:footnote>
  <w:footnote w:id="20">
    <w:p w:rsidR="00070003" w:rsidRDefault="00070003" w:rsidP="00070003">
      <w:pPr>
        <w:pStyle w:val="FootnoteText"/>
      </w:pPr>
      <w:r w:rsidRPr="000A3A43">
        <w:rPr>
          <w:rStyle w:val="FootnoteReference"/>
          <w:rFonts w:ascii="Times New Roman" w:hAnsi="Times New Roman" w:cs="Times New Roman"/>
        </w:rPr>
        <w:footnoteRef/>
      </w:r>
      <w:r w:rsidRPr="000A3A43">
        <w:rPr>
          <w:rFonts w:ascii="Times New Roman" w:hAnsi="Times New Roman" w:cs="Times New Roman"/>
        </w:rPr>
        <w:t xml:space="preserve"> CA </w:t>
      </w:r>
      <w:proofErr w:type="spellStart"/>
      <w:r w:rsidRPr="000A3A43">
        <w:rPr>
          <w:rFonts w:ascii="Times New Roman" w:hAnsi="Times New Roman" w:cs="Times New Roman"/>
        </w:rPr>
        <w:t>Sch</w:t>
      </w:r>
      <w:proofErr w:type="spellEnd"/>
      <w:r w:rsidRPr="000A3A43">
        <w:rPr>
          <w:rFonts w:ascii="Times New Roman" w:hAnsi="Times New Roman" w:cs="Times New Roman"/>
        </w:rPr>
        <w:t xml:space="preserve"> 1, para. 2(4)</w:t>
      </w:r>
    </w:p>
  </w:footnote>
  <w:footnote w:id="21">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w:t>
      </w:r>
      <w:proofErr w:type="spellStart"/>
      <w:r w:rsidRPr="000A3A43">
        <w:rPr>
          <w:rFonts w:ascii="Times New Roman" w:hAnsi="Times New Roman" w:cs="Times New Roman"/>
        </w:rPr>
        <w:t>Sch</w:t>
      </w:r>
      <w:proofErr w:type="spellEnd"/>
      <w:r w:rsidRPr="000A3A43">
        <w:rPr>
          <w:rFonts w:ascii="Times New Roman" w:hAnsi="Times New Roman" w:cs="Times New Roman"/>
        </w:rPr>
        <w:t xml:space="preserve"> 1, para. 1(5), </w:t>
      </w:r>
      <w:r w:rsidRPr="000A3A43">
        <w:rPr>
          <w:rFonts w:ascii="Times New Roman" w:hAnsi="Times New Roman" w:cs="Times New Roman"/>
          <w:i/>
        </w:rPr>
        <w:t>Philips v Peace</w:t>
      </w:r>
      <w:r w:rsidRPr="000A3A43">
        <w:rPr>
          <w:rFonts w:ascii="Times New Roman" w:hAnsi="Times New Roman" w:cs="Times New Roman"/>
        </w:rPr>
        <w:t xml:space="preserve"> [2005] 2 FLR 1212 – but written agreements for property are not orders: </w:t>
      </w:r>
      <w:r w:rsidRPr="000A3A43">
        <w:rPr>
          <w:rFonts w:ascii="Times New Roman" w:hAnsi="Times New Roman" w:cs="Times New Roman"/>
          <w:i/>
        </w:rPr>
        <w:t>Morgan v Hill</w:t>
      </w:r>
      <w:r w:rsidRPr="000A3A43">
        <w:rPr>
          <w:rFonts w:ascii="Times New Roman" w:hAnsi="Times New Roman" w:cs="Times New Roman"/>
        </w:rPr>
        <w:t xml:space="preserve"> [2007] 1 FLR 1480</w:t>
      </w:r>
    </w:p>
  </w:footnote>
  <w:footnote w:id="22">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See e.g. </w:t>
      </w:r>
      <w:r w:rsidRPr="000A3A43">
        <w:rPr>
          <w:rFonts w:ascii="Times New Roman" w:hAnsi="Times New Roman" w:cs="Times New Roman"/>
          <w:i/>
        </w:rPr>
        <w:t>A v A (Minor: Financial Provision)</w:t>
      </w:r>
      <w:r w:rsidRPr="000A3A43">
        <w:rPr>
          <w:rFonts w:ascii="Times New Roman" w:hAnsi="Times New Roman" w:cs="Times New Roman"/>
        </w:rPr>
        <w:t xml:space="preserve"> [1994] 1 FLR 657; </w:t>
      </w:r>
      <w:r w:rsidRPr="000A3A43">
        <w:rPr>
          <w:rFonts w:ascii="Times New Roman" w:hAnsi="Times New Roman" w:cs="Times New Roman"/>
          <w:i/>
        </w:rPr>
        <w:t>T v S (Financial Provision for Children)</w:t>
      </w:r>
      <w:r w:rsidRPr="000A3A43">
        <w:rPr>
          <w:rFonts w:ascii="Times New Roman" w:hAnsi="Times New Roman" w:cs="Times New Roman"/>
        </w:rPr>
        <w:t xml:space="preserve"> [1994] 2 FLR 883. General practice now appears to be until completion of first degree and gap years are often included</w:t>
      </w:r>
      <w:r w:rsidRPr="000A3A43">
        <w:rPr>
          <w:rFonts w:ascii="Times New Roman" w:hAnsi="Times New Roman" w:cs="Times New Roman"/>
          <w:i/>
        </w:rPr>
        <w:t>; T v S</w:t>
      </w:r>
      <w:r w:rsidRPr="000A3A43">
        <w:rPr>
          <w:rFonts w:ascii="Times New Roman" w:hAnsi="Times New Roman" w:cs="Times New Roman"/>
        </w:rPr>
        <w:t xml:space="preserve"> [1994] 1 FCR 743; </w:t>
      </w:r>
      <w:r w:rsidRPr="000A3A43">
        <w:rPr>
          <w:rFonts w:ascii="Times New Roman" w:hAnsi="Times New Roman" w:cs="Times New Roman"/>
          <w:i/>
        </w:rPr>
        <w:t>Re N (Payments for the Benefit of a Child</w:t>
      </w:r>
      <w:r w:rsidRPr="000A3A43">
        <w:rPr>
          <w:rFonts w:ascii="Times New Roman" w:hAnsi="Times New Roman" w:cs="Times New Roman"/>
        </w:rPr>
        <w:t>) [2009] 1 FLR 1442</w:t>
      </w:r>
    </w:p>
  </w:footnote>
  <w:footnote w:id="23">
    <w:p w:rsidR="00070003" w:rsidRDefault="00070003" w:rsidP="00070003">
      <w:pPr>
        <w:pStyle w:val="FootnoteText"/>
      </w:pPr>
      <w:r w:rsidRPr="000A3A43">
        <w:rPr>
          <w:rStyle w:val="FootnoteReference"/>
          <w:rFonts w:ascii="Times New Roman" w:hAnsi="Times New Roman" w:cs="Times New Roman"/>
        </w:rPr>
        <w:footnoteRef/>
      </w:r>
      <w:r w:rsidRPr="000A3A43">
        <w:rPr>
          <w:rFonts w:ascii="Times New Roman" w:hAnsi="Times New Roman" w:cs="Times New Roman"/>
        </w:rPr>
        <w:t xml:space="preserve"> </w:t>
      </w:r>
      <w:r w:rsidRPr="000A3A43">
        <w:rPr>
          <w:rFonts w:ascii="Times New Roman" w:eastAsia="Times New Roman" w:hAnsi="Times New Roman" w:cs="Times New Roman"/>
          <w:i/>
        </w:rPr>
        <w:t xml:space="preserve">MT v OT (Financial Provision: Costs) </w:t>
      </w:r>
      <w:r w:rsidRPr="000A3A43">
        <w:rPr>
          <w:rFonts w:ascii="Times New Roman" w:eastAsia="Times New Roman" w:hAnsi="Times New Roman" w:cs="Times New Roman"/>
        </w:rPr>
        <w:t>[2007] EWHC 838; [2008] 2 FLR 1311</w:t>
      </w:r>
    </w:p>
  </w:footnote>
  <w:footnote w:id="24">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w:t>
      </w:r>
      <w:r w:rsidRPr="000A3A43">
        <w:rPr>
          <w:rFonts w:ascii="Times New Roman" w:eastAsia="Times New Roman" w:hAnsi="Times New Roman" w:cs="Times New Roman"/>
          <w:color w:val="262626" w:themeColor="text1" w:themeTint="D9"/>
        </w:rPr>
        <w:t>“</w:t>
      </w:r>
      <w:r w:rsidRPr="000A3A43">
        <w:rPr>
          <w:rFonts w:ascii="Times New Roman" w:eastAsia="Times New Roman" w:hAnsi="Times New Roman" w:cs="Times New Roman"/>
          <w:b/>
          <w:color w:val="262626" w:themeColor="text1" w:themeTint="D9"/>
        </w:rPr>
        <w:t xml:space="preserve">[6] </w:t>
      </w:r>
      <w:r w:rsidRPr="000A3A43">
        <w:rPr>
          <w:rFonts w:ascii="Times New Roman" w:eastAsia="Times New Roman" w:hAnsi="Times New Roman" w:cs="Times New Roman"/>
          <w:color w:val="262626" w:themeColor="text1" w:themeTint="D9"/>
        </w:rPr>
        <w:t>A court of law is not a court of morals. But every adult understands that a sexual encounter, however brief, can lead to conception. If a child is born, then the parents (and I stress both parents) have obligations under law.”</w:t>
      </w:r>
    </w:p>
  </w:footnote>
  <w:footnote w:id="25">
    <w:p w:rsidR="00070003" w:rsidRDefault="00070003" w:rsidP="00070003">
      <w:pPr>
        <w:pStyle w:val="FootnoteText"/>
      </w:pPr>
      <w:r w:rsidRPr="000A3A43">
        <w:rPr>
          <w:rStyle w:val="FootnoteReference"/>
          <w:rFonts w:ascii="Times New Roman" w:hAnsi="Times New Roman" w:cs="Times New Roman"/>
        </w:rPr>
        <w:footnoteRef/>
      </w:r>
      <w:r w:rsidRPr="000A3A43">
        <w:rPr>
          <w:rFonts w:ascii="Times New Roman" w:hAnsi="Times New Roman" w:cs="Times New Roman"/>
        </w:rPr>
        <w:t xml:space="preserve"> </w:t>
      </w:r>
      <w:proofErr w:type="spellStart"/>
      <w:r w:rsidRPr="000A3A43">
        <w:rPr>
          <w:rFonts w:ascii="Times New Roman" w:hAnsi="Times New Roman" w:cs="Times New Roman"/>
        </w:rPr>
        <w:t>Sch</w:t>
      </w:r>
      <w:proofErr w:type="spellEnd"/>
      <w:r w:rsidRPr="000A3A43">
        <w:rPr>
          <w:rFonts w:ascii="Times New Roman" w:hAnsi="Times New Roman" w:cs="Times New Roman"/>
        </w:rPr>
        <w:t xml:space="preserve"> 1, para. 13</w:t>
      </w:r>
    </w:p>
  </w:footnote>
  <w:footnote w:id="26">
    <w:p w:rsidR="00361187" w:rsidRPr="00361187" w:rsidRDefault="00361187">
      <w:pPr>
        <w:pStyle w:val="FootnoteText"/>
      </w:pPr>
      <w:r w:rsidRPr="00361187">
        <w:rPr>
          <w:rStyle w:val="FootnoteReference"/>
        </w:rPr>
        <w:footnoteRef/>
      </w:r>
      <w:r w:rsidRPr="00361187">
        <w:t xml:space="preserve"> </w:t>
      </w:r>
      <w:r w:rsidRPr="00361187">
        <w:rPr>
          <w:rFonts w:ascii="Times New Roman" w:eastAsia="Times New Roman" w:hAnsi="Times New Roman" w:cs="Times New Roman"/>
        </w:rPr>
        <w:t xml:space="preserve">Since the </w:t>
      </w:r>
      <w:r w:rsidRPr="00361187">
        <w:rPr>
          <w:rFonts w:ascii="Times New Roman" w:eastAsia="Times New Roman" w:hAnsi="Times New Roman" w:cs="Times New Roman"/>
          <w:u w:val="single"/>
        </w:rPr>
        <w:t>Finance Act 2006</w:t>
      </w:r>
      <w:r w:rsidRPr="00361187">
        <w:rPr>
          <w:rFonts w:ascii="Times New Roman" w:eastAsia="Times New Roman" w:hAnsi="Times New Roman" w:cs="Times New Roman"/>
        </w:rPr>
        <w:t xml:space="preserve">, there are very limited categories of trust which are excluded from Inheritance Tax.  </w:t>
      </w:r>
    </w:p>
  </w:footnote>
  <w:footnote w:id="27">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w:t>
      </w:r>
      <w:proofErr w:type="spellStart"/>
      <w:proofErr w:type="gramStart"/>
      <w:r w:rsidRPr="000A3A43">
        <w:rPr>
          <w:rFonts w:ascii="Times New Roman" w:hAnsi="Times New Roman" w:cs="Times New Roman"/>
        </w:rPr>
        <w:t>Sch</w:t>
      </w:r>
      <w:proofErr w:type="spellEnd"/>
      <w:r w:rsidRPr="000A3A43">
        <w:rPr>
          <w:rFonts w:ascii="Times New Roman" w:hAnsi="Times New Roman" w:cs="Times New Roman"/>
        </w:rPr>
        <w:t xml:space="preserve"> 1.</w:t>
      </w:r>
      <w:proofErr w:type="gramEnd"/>
      <w:r w:rsidRPr="000A3A43">
        <w:rPr>
          <w:rFonts w:ascii="Times New Roman" w:hAnsi="Times New Roman" w:cs="Times New Roman"/>
        </w:rPr>
        <w:t xml:space="preserve"> </w:t>
      </w:r>
      <w:proofErr w:type="gramStart"/>
      <w:r w:rsidRPr="000A3A43">
        <w:rPr>
          <w:rFonts w:ascii="Times New Roman" w:hAnsi="Times New Roman" w:cs="Times New Roman"/>
        </w:rPr>
        <w:t>Para.</w:t>
      </w:r>
      <w:proofErr w:type="gramEnd"/>
      <w:r w:rsidRPr="000A3A43">
        <w:rPr>
          <w:rFonts w:ascii="Times New Roman" w:hAnsi="Times New Roman" w:cs="Times New Roman"/>
        </w:rPr>
        <w:t xml:space="preserve"> 5(1)</w:t>
      </w:r>
    </w:p>
  </w:footnote>
  <w:footnote w:id="28">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Schedule 1, para 5(5) and (6)</w:t>
      </w:r>
    </w:p>
  </w:footnote>
  <w:footnote w:id="29">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Schedule 1, para 1(1)(b)</w:t>
      </w:r>
    </w:p>
  </w:footnote>
  <w:footnote w:id="30">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References to the statutory body formerly known as the Child Support Agency (CSA), then the Child Maintenance and Enforcement Commission (CMEC) and now the Child Maintenance Service (CMS) are referred to in this papers as the CSA save where indicated otherwise</w:t>
      </w:r>
    </w:p>
  </w:footnote>
  <w:footnote w:id="31">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w:t>
      </w:r>
      <w:proofErr w:type="gramStart"/>
      <w:r w:rsidRPr="000A3A43">
        <w:rPr>
          <w:rFonts w:ascii="Times New Roman" w:eastAsia="Times New Roman" w:hAnsi="Times New Roman" w:cs="Times New Roman"/>
          <w:i/>
        </w:rPr>
        <w:t>Council Regulation (EC) 4/2009</w:t>
      </w:r>
      <w:r w:rsidRPr="000A3A43">
        <w:rPr>
          <w:rFonts w:ascii="Times New Roman" w:eastAsia="Times New Roman" w:hAnsi="Times New Roman" w:cs="Times New Roman"/>
        </w:rPr>
        <w:t xml:space="preserve"> (‘</w:t>
      </w:r>
      <w:r w:rsidRPr="000A3A43">
        <w:rPr>
          <w:rFonts w:ascii="Times New Roman" w:eastAsia="Times New Roman" w:hAnsi="Times New Roman" w:cs="Times New Roman"/>
          <w:i/>
        </w:rPr>
        <w:t>the Maintenance Regulation’</w:t>
      </w:r>
      <w:r w:rsidRPr="000A3A43">
        <w:rPr>
          <w:rFonts w:ascii="Times New Roman" w:eastAsia="Times New Roman" w:hAnsi="Times New Roman" w:cs="Times New Roman"/>
        </w:rPr>
        <w:t>), in force since 18.6.11 and which replaced 44/2001 (</w:t>
      </w:r>
      <w:r w:rsidRPr="000A3A43">
        <w:rPr>
          <w:rFonts w:ascii="Times New Roman" w:eastAsia="Times New Roman" w:hAnsi="Times New Roman" w:cs="Times New Roman"/>
          <w:i/>
        </w:rPr>
        <w:t>‘Brussels I’</w:t>
      </w:r>
      <w:r w:rsidRPr="000A3A43">
        <w:rPr>
          <w:rFonts w:ascii="Times New Roman" w:eastAsia="Times New Roman" w:hAnsi="Times New Roman" w:cs="Times New Roman"/>
        </w:rPr>
        <w:t>) in relation to maintenance obligations.</w:t>
      </w:r>
      <w:proofErr w:type="gramEnd"/>
    </w:p>
  </w:footnote>
  <w:footnote w:id="32">
    <w:p w:rsidR="00070003" w:rsidRDefault="00070003" w:rsidP="00070003">
      <w:pPr>
        <w:pStyle w:val="FootnoteText"/>
      </w:pPr>
      <w:r w:rsidRPr="000A3A43">
        <w:rPr>
          <w:rStyle w:val="FootnoteReference"/>
          <w:rFonts w:ascii="Times New Roman" w:hAnsi="Times New Roman" w:cs="Times New Roman"/>
        </w:rPr>
        <w:footnoteRef/>
      </w:r>
      <w:r w:rsidRPr="000A3A43">
        <w:rPr>
          <w:rFonts w:ascii="Times New Roman" w:hAnsi="Times New Roman" w:cs="Times New Roman"/>
        </w:rPr>
        <w:t xml:space="preserve"> Prior to July 2012, 19</w:t>
      </w:r>
    </w:p>
  </w:footnote>
  <w:footnote w:id="33">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Although any resulting order will be susceptible to an application to the CSA for an assessment after one year: </w:t>
      </w:r>
      <w:r w:rsidRPr="000A3A43">
        <w:rPr>
          <w:rFonts w:ascii="Times New Roman" w:hAnsi="Times New Roman" w:cs="Times New Roman"/>
          <w:u w:val="single"/>
        </w:rPr>
        <w:t>s. 4(10)(</w:t>
      </w:r>
      <w:proofErr w:type="spellStart"/>
      <w:r w:rsidRPr="000A3A43">
        <w:rPr>
          <w:rFonts w:ascii="Times New Roman" w:hAnsi="Times New Roman" w:cs="Times New Roman"/>
          <w:u w:val="single"/>
        </w:rPr>
        <w:t>aa</w:t>
      </w:r>
      <w:proofErr w:type="spellEnd"/>
      <w:r w:rsidRPr="000A3A43">
        <w:rPr>
          <w:rFonts w:ascii="Times New Roman" w:hAnsi="Times New Roman" w:cs="Times New Roman"/>
          <w:u w:val="single"/>
        </w:rPr>
        <w:t>) of the 1991 Act</w:t>
      </w:r>
    </w:p>
  </w:footnote>
  <w:footnote w:id="34">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Generally assumed to require a maximum assessment see </w:t>
      </w:r>
      <w:r w:rsidRPr="000A3A43">
        <w:rPr>
          <w:rFonts w:ascii="Times New Roman" w:hAnsi="Times New Roman" w:cs="Times New Roman"/>
          <w:i/>
        </w:rPr>
        <w:t xml:space="preserve">H v C </w:t>
      </w:r>
      <w:r w:rsidRPr="000A3A43">
        <w:rPr>
          <w:rFonts w:ascii="Times New Roman" w:hAnsi="Times New Roman" w:cs="Times New Roman"/>
        </w:rPr>
        <w:t xml:space="preserve">[2009] 2 FLR 1540 at [51] – but for the contrary view (i.e. any assessment will do) see Charles J in </w:t>
      </w:r>
      <w:r w:rsidRPr="000A3A43">
        <w:rPr>
          <w:rFonts w:ascii="Times New Roman" w:hAnsi="Times New Roman" w:cs="Times New Roman"/>
          <w:i/>
        </w:rPr>
        <w:t>CF v KM (Financial Provision for Child; Costs of Legal Proceedings)</w:t>
      </w:r>
      <w:r w:rsidRPr="000A3A43">
        <w:rPr>
          <w:rFonts w:ascii="Times New Roman" w:hAnsi="Times New Roman" w:cs="Times New Roman"/>
        </w:rPr>
        <w:t xml:space="preserve"> [2010] EWHC 1754; [2011] 1 FLR 208 at [4]</w:t>
      </w:r>
    </w:p>
  </w:footnote>
  <w:footnote w:id="35">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w:t>
      </w:r>
      <w:proofErr w:type="gramStart"/>
      <w:r w:rsidRPr="000A3A43">
        <w:rPr>
          <w:rFonts w:ascii="Times New Roman" w:hAnsi="Times New Roman" w:cs="Times New Roman"/>
        </w:rPr>
        <w:t xml:space="preserve">Child Support Act 1991, </w:t>
      </w:r>
      <w:proofErr w:type="spellStart"/>
      <w:r w:rsidRPr="000A3A43">
        <w:rPr>
          <w:rFonts w:ascii="Times New Roman" w:hAnsi="Times New Roman" w:cs="Times New Roman"/>
        </w:rPr>
        <w:t>Sch</w:t>
      </w:r>
      <w:proofErr w:type="spellEnd"/>
      <w:r w:rsidRPr="000A3A43">
        <w:rPr>
          <w:rFonts w:ascii="Times New Roman" w:hAnsi="Times New Roman" w:cs="Times New Roman"/>
        </w:rPr>
        <w:t xml:space="preserve"> 1, para.</w:t>
      </w:r>
      <w:proofErr w:type="gramEnd"/>
      <w:r w:rsidRPr="000A3A43">
        <w:rPr>
          <w:rFonts w:ascii="Times New Roman" w:hAnsi="Times New Roman" w:cs="Times New Roman"/>
        </w:rPr>
        <w:t xml:space="preserve"> 10A(1)(b) </w:t>
      </w:r>
    </w:p>
  </w:footnote>
  <w:footnote w:id="36">
    <w:p w:rsidR="002C3444" w:rsidRDefault="002C3444">
      <w:pPr>
        <w:pStyle w:val="FootnoteText"/>
      </w:pPr>
      <w:r>
        <w:rPr>
          <w:rStyle w:val="FootnoteReference"/>
        </w:rPr>
        <w:footnoteRef/>
      </w:r>
      <w:r>
        <w:t xml:space="preserve"> </w:t>
      </w:r>
    </w:p>
  </w:footnote>
  <w:footnote w:id="37">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Schedule 1, para 3(1), (5)-(8)</w:t>
      </w:r>
    </w:p>
  </w:footnote>
  <w:footnote w:id="38">
    <w:p w:rsidR="00070003" w:rsidRDefault="00070003" w:rsidP="00070003">
      <w:pPr>
        <w:pStyle w:val="FootnoteText"/>
      </w:pPr>
      <w:r w:rsidRPr="000A3A43">
        <w:rPr>
          <w:rStyle w:val="FootnoteReference"/>
          <w:rFonts w:ascii="Times New Roman" w:hAnsi="Times New Roman" w:cs="Times New Roman"/>
        </w:rPr>
        <w:footnoteRef/>
      </w:r>
      <w:r w:rsidRPr="000A3A43">
        <w:rPr>
          <w:rFonts w:ascii="Times New Roman" w:hAnsi="Times New Roman" w:cs="Times New Roman"/>
        </w:rPr>
        <w:t xml:space="preserve"> Sch</w:t>
      </w:r>
      <w:r w:rsidR="002C3444">
        <w:rPr>
          <w:rFonts w:ascii="Times New Roman" w:hAnsi="Times New Roman" w:cs="Times New Roman"/>
        </w:rPr>
        <w:t>e</w:t>
      </w:r>
      <w:r w:rsidRPr="000A3A43">
        <w:rPr>
          <w:rFonts w:ascii="Times New Roman" w:hAnsi="Times New Roman" w:cs="Times New Roman"/>
        </w:rPr>
        <w:t>dule 1,  para 3(7)</w:t>
      </w:r>
    </w:p>
  </w:footnote>
  <w:footnote w:id="39">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Schedule 1 Children Act, paragraph 3(3)</w:t>
      </w:r>
    </w:p>
  </w:footnote>
  <w:footnote w:id="40">
    <w:p w:rsidR="00361187" w:rsidRPr="000A3A43" w:rsidRDefault="00361187" w:rsidP="00361187">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Schedule 1 Children Act, paragraph 9</w:t>
      </w:r>
    </w:p>
  </w:footnote>
  <w:footnote w:id="41">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Schedule 1 Children Act, paragraph 3(4)</w:t>
      </w:r>
    </w:p>
  </w:footnote>
  <w:footnote w:id="42">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S4(10)(</w:t>
      </w:r>
      <w:proofErr w:type="spellStart"/>
      <w:r w:rsidRPr="000A3A43">
        <w:rPr>
          <w:rFonts w:ascii="Times New Roman" w:hAnsi="Times New Roman" w:cs="Times New Roman"/>
        </w:rPr>
        <w:t>aa</w:t>
      </w:r>
      <w:proofErr w:type="spellEnd"/>
      <w:r w:rsidRPr="000A3A43">
        <w:rPr>
          <w:rFonts w:ascii="Times New Roman" w:hAnsi="Times New Roman" w:cs="Times New Roman"/>
        </w:rPr>
        <w:t>) CSA 1991 as amended</w:t>
      </w:r>
    </w:p>
  </w:footnote>
  <w:footnote w:id="43">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Schedule 1 Children Act, paragraph 6</w:t>
      </w:r>
    </w:p>
  </w:footnote>
  <w:footnote w:id="44">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Schedule 1 Children Act, paragraph 10</w:t>
      </w:r>
    </w:p>
  </w:footnote>
  <w:footnote w:id="45">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Schedule 1 Children Act, paragraph 10(6)</w:t>
      </w:r>
    </w:p>
  </w:footnote>
  <w:footnote w:id="46">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Schedule 1, para 6</w:t>
      </w:r>
    </w:p>
  </w:footnote>
  <w:footnote w:id="47">
    <w:p w:rsidR="00070003" w:rsidRPr="00E3649A" w:rsidRDefault="00070003" w:rsidP="00070003">
      <w:pPr>
        <w:pStyle w:val="FootnoteText"/>
      </w:pPr>
      <w:r w:rsidRPr="000A3A43">
        <w:rPr>
          <w:rStyle w:val="FootnoteReference"/>
          <w:rFonts w:ascii="Times New Roman" w:hAnsi="Times New Roman" w:cs="Times New Roman"/>
        </w:rPr>
        <w:footnoteRef/>
      </w:r>
      <w:r w:rsidRPr="000A3A43">
        <w:rPr>
          <w:rFonts w:ascii="Times New Roman" w:hAnsi="Times New Roman" w:cs="Times New Roman"/>
        </w:rPr>
        <w:t xml:space="preserve"> Schedule 1, para 6(5)</w:t>
      </w:r>
    </w:p>
  </w:footnote>
  <w:footnote w:id="48">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Schedule 1, para 6(3)</w:t>
      </w:r>
    </w:p>
  </w:footnote>
  <w:footnote w:id="49">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Originally it was intended that all cases decided under the 1991 Regime would, post 2003, be brought in line with the 2000 Regime. In fact, this has not happened and some 1991 cases remain.</w:t>
      </w:r>
    </w:p>
  </w:footnote>
  <w:footnote w:id="50">
    <w:p w:rsidR="00070003" w:rsidRDefault="00070003" w:rsidP="00070003">
      <w:pPr>
        <w:pStyle w:val="FootnoteText"/>
      </w:pPr>
      <w:r w:rsidRPr="000A3A43">
        <w:rPr>
          <w:rStyle w:val="FootnoteReference"/>
          <w:rFonts w:ascii="Times New Roman" w:hAnsi="Times New Roman" w:cs="Times New Roman"/>
        </w:rPr>
        <w:footnoteRef/>
      </w:r>
      <w:r w:rsidRPr="000A3A43">
        <w:rPr>
          <w:rFonts w:ascii="Times New Roman" w:hAnsi="Times New Roman" w:cs="Times New Roman"/>
        </w:rPr>
        <w:t xml:space="preserve"> Child Support, Pensions and Social Security Act 2000 (Commencement No.12) Order 2003 (SI 2003/192)</w:t>
      </w:r>
    </w:p>
  </w:footnote>
  <w:footnote w:id="51">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w:t>
      </w:r>
      <w:hyperlink r:id="rId3" w:history="1">
        <w:r w:rsidRPr="000A3A43">
          <w:rPr>
            <w:rStyle w:val="Hyperlink"/>
            <w:rFonts w:ascii="Times New Roman" w:hAnsi="Times New Roman" w:cs="Times New Roman"/>
          </w:rPr>
          <w:t>http://www.dwp.gov.uk/docs/childrens-futures-consultation.pdf</w:t>
        </w:r>
      </w:hyperlink>
      <w:r w:rsidRPr="000A3A43">
        <w:rPr>
          <w:rFonts w:ascii="Times New Roman" w:hAnsi="Times New Roman" w:cs="Times New Roman"/>
        </w:rPr>
        <w:t xml:space="preserve"> </w:t>
      </w:r>
    </w:p>
  </w:footnote>
  <w:footnote w:id="52">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SI 2012/3042: </w:t>
      </w:r>
      <w:hyperlink r:id="rId4" w:history="1">
        <w:r w:rsidRPr="000A3A43">
          <w:rPr>
            <w:rStyle w:val="Hyperlink"/>
            <w:rFonts w:ascii="Times New Roman" w:hAnsi="Times New Roman" w:cs="Times New Roman"/>
          </w:rPr>
          <w:t>http://www.familylaw.co.uk/system/uploads/attachments/0006/2647/uksi_20123042_en.pdf</w:t>
        </w:r>
      </w:hyperlink>
      <w:r w:rsidRPr="000A3A43">
        <w:rPr>
          <w:rFonts w:ascii="Times New Roman" w:hAnsi="Times New Roman" w:cs="Times New Roman"/>
        </w:rPr>
        <w:t xml:space="preserve"> </w:t>
      </w:r>
    </w:p>
  </w:footnote>
  <w:footnote w:id="53">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With thanks to David Burrows </w:t>
      </w:r>
      <w:hyperlink r:id="rId5" w:history="1">
        <w:r w:rsidRPr="000A3A43">
          <w:rPr>
            <w:rStyle w:val="Hyperlink"/>
            <w:rFonts w:ascii="Times New Roman" w:hAnsi="Times New Roman" w:cs="Times New Roman"/>
          </w:rPr>
          <w:t>http://www.familylawweek.co.uk/site.aspx?i=ed24549</w:t>
        </w:r>
      </w:hyperlink>
      <w:r w:rsidRPr="000A3A43">
        <w:rPr>
          <w:rFonts w:ascii="Times New Roman" w:hAnsi="Times New Roman" w:cs="Times New Roman"/>
        </w:rPr>
        <w:t xml:space="preserve"> </w:t>
      </w:r>
    </w:p>
  </w:footnote>
  <w:footnote w:id="54">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SI 2012/3042, Art 3(2)</w:t>
      </w:r>
    </w:p>
  </w:footnote>
  <w:footnote w:id="55">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w:t>
      </w:r>
      <w:hyperlink r:id="rId6" w:history="1">
        <w:r w:rsidRPr="000A3A43">
          <w:rPr>
            <w:rStyle w:val="Hyperlink"/>
            <w:rFonts w:ascii="Times New Roman" w:hAnsi="Times New Roman" w:cs="Times New Roman"/>
          </w:rPr>
          <w:t>http://www.legislation.gov.uk/ukdsi/2013/9780111531938/contents</w:t>
        </w:r>
      </w:hyperlink>
      <w:r w:rsidRPr="000A3A43">
        <w:rPr>
          <w:rFonts w:ascii="Times New Roman" w:hAnsi="Times New Roman" w:cs="Times New Roman"/>
        </w:rPr>
        <w:t xml:space="preserve"> </w:t>
      </w:r>
    </w:p>
  </w:footnote>
  <w:footnote w:id="56">
    <w:p w:rsidR="00070003" w:rsidRPr="000A3A43" w:rsidRDefault="00070003" w:rsidP="00070003">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w:t>
      </w:r>
      <w:proofErr w:type="gramStart"/>
      <w:r w:rsidRPr="000A3A43">
        <w:rPr>
          <w:rFonts w:ascii="Times New Roman" w:hAnsi="Times New Roman" w:cs="Times New Roman"/>
        </w:rPr>
        <w:t>Tax Credits (Definition and Calculation of Income) Regulations 2002 (SI 2002/2006), Regulation 19, Table 6, para.</w:t>
      </w:r>
      <w:proofErr w:type="gramEnd"/>
      <w:r w:rsidRPr="000A3A43">
        <w:rPr>
          <w:rFonts w:ascii="Times New Roman" w:hAnsi="Times New Roman" w:cs="Times New Roman"/>
        </w:rPr>
        <w:t xml:space="preserve"> 10</w:t>
      </w:r>
    </w:p>
  </w:footnote>
  <w:footnote w:id="57">
    <w:p w:rsidR="00070003" w:rsidRDefault="00070003" w:rsidP="00070003">
      <w:pPr>
        <w:pStyle w:val="FootnoteText"/>
      </w:pPr>
      <w:r w:rsidRPr="000A3A43">
        <w:rPr>
          <w:rStyle w:val="FootnoteReference"/>
          <w:rFonts w:ascii="Times New Roman" w:hAnsi="Times New Roman" w:cs="Times New Roman"/>
        </w:rPr>
        <w:footnoteRef/>
      </w:r>
      <w:r w:rsidRPr="000A3A43">
        <w:rPr>
          <w:rFonts w:ascii="Times New Roman" w:hAnsi="Times New Roman" w:cs="Times New Roman"/>
        </w:rPr>
        <w:t xml:space="preserve"> </w:t>
      </w:r>
      <w:hyperlink r:id="rId7" w:history="1">
        <w:r w:rsidRPr="000A3A43">
          <w:rPr>
            <w:rStyle w:val="Hyperlink"/>
            <w:rFonts w:ascii="Times New Roman" w:hAnsi="Times New Roman" w:cs="Times New Roman"/>
          </w:rPr>
          <w:t>http://www.dwp.gov.uk/docs/universal-credit-faqs.pdf</w:t>
        </w:r>
      </w:hyperlink>
      <w:r>
        <w:rPr>
          <w:rStyle w:val="Hyperlink"/>
        </w:rPr>
        <w:t xml:space="preserve"> </w:t>
      </w:r>
    </w:p>
  </w:footnote>
  <w:footnote w:id="58">
    <w:p w:rsidR="00A051A1" w:rsidRPr="000A3A43" w:rsidRDefault="00A051A1" w:rsidP="00A051A1">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w:t>
      </w:r>
      <w:r w:rsidRPr="000A3A43">
        <w:rPr>
          <w:rFonts w:ascii="Times New Roman" w:hAnsi="Times New Roman" w:cs="Times New Roman"/>
          <w:i/>
        </w:rPr>
        <w:t>MB v KB</w:t>
      </w:r>
      <w:r w:rsidRPr="000A3A43">
        <w:rPr>
          <w:rFonts w:ascii="Times New Roman" w:hAnsi="Times New Roman" w:cs="Times New Roman"/>
        </w:rPr>
        <w:t xml:space="preserve"> [2007] 2 FLR 586; </w:t>
      </w:r>
      <w:r w:rsidRPr="000A3A43">
        <w:rPr>
          <w:rFonts w:ascii="Times New Roman" w:hAnsi="Times New Roman" w:cs="Times New Roman"/>
          <w:i/>
        </w:rPr>
        <w:t>W v W (Joinder of Trusts of Land Act and Children Act applications</w:t>
      </w:r>
      <w:r w:rsidRPr="000A3A43">
        <w:rPr>
          <w:rFonts w:ascii="Times New Roman" w:hAnsi="Times New Roman" w:cs="Times New Roman"/>
        </w:rPr>
        <w:t>) [ 2004] 2 FLR 321</w:t>
      </w:r>
    </w:p>
  </w:footnote>
  <w:footnote w:id="59">
    <w:p w:rsidR="00A051A1" w:rsidRPr="000A3A43" w:rsidRDefault="00A051A1" w:rsidP="00A051A1">
      <w:pPr>
        <w:pStyle w:val="FootnoteText"/>
        <w:rPr>
          <w:rFonts w:ascii="Times New Roman" w:hAnsi="Times New Roman" w:cs="Times New Roman"/>
        </w:rPr>
      </w:pPr>
      <w:r w:rsidRPr="000A3A43">
        <w:rPr>
          <w:rStyle w:val="FootnoteReference"/>
          <w:rFonts w:ascii="Times New Roman" w:hAnsi="Times New Roman" w:cs="Times New Roman"/>
        </w:rPr>
        <w:footnoteRef/>
      </w:r>
      <w:r w:rsidRPr="000A3A43">
        <w:rPr>
          <w:rFonts w:ascii="Times New Roman" w:hAnsi="Times New Roman" w:cs="Times New Roman"/>
        </w:rPr>
        <w:t xml:space="preserve"> </w:t>
      </w:r>
      <w:r w:rsidRPr="000A3A43">
        <w:rPr>
          <w:rFonts w:ascii="Times New Roman" w:hAnsi="Times New Roman" w:cs="Times New Roman"/>
          <w:i/>
        </w:rPr>
        <w:t>MB v KB</w:t>
      </w:r>
      <w:r w:rsidRPr="000A3A43">
        <w:rPr>
          <w:rFonts w:ascii="Times New Roman" w:hAnsi="Times New Roman" w:cs="Times New Roman"/>
        </w:rPr>
        <w:t xml:space="preserve"> [2007] 2 FLR 586</w:t>
      </w:r>
    </w:p>
  </w:footnote>
  <w:footnote w:id="60">
    <w:p w:rsidR="00A051A1" w:rsidRDefault="00A051A1" w:rsidP="00A051A1">
      <w:pPr>
        <w:pStyle w:val="FootnoteText"/>
      </w:pPr>
      <w:r w:rsidRPr="000A3A43">
        <w:rPr>
          <w:rStyle w:val="FootnoteReference"/>
          <w:rFonts w:ascii="Times New Roman" w:hAnsi="Times New Roman" w:cs="Times New Roman"/>
        </w:rPr>
        <w:footnoteRef/>
      </w:r>
      <w:r w:rsidRPr="000A3A43">
        <w:rPr>
          <w:rFonts w:ascii="Times New Roman" w:hAnsi="Times New Roman" w:cs="Times New Roman"/>
        </w:rPr>
        <w:t xml:space="preserve"> Per Thorpe LJ in </w:t>
      </w:r>
      <w:r w:rsidRPr="000A3A43">
        <w:rPr>
          <w:rFonts w:ascii="Times New Roman" w:hAnsi="Times New Roman" w:cs="Times New Roman"/>
          <w:i/>
        </w:rPr>
        <w:t>Re P (Child: Financial Provision)</w:t>
      </w:r>
      <w:r w:rsidRPr="000A3A43">
        <w:rPr>
          <w:rFonts w:ascii="Times New Roman" w:hAnsi="Times New Roman" w:cs="Times New Roman"/>
        </w:rPr>
        <w:t xml:space="preserve"> [2003] 2 FLR 865</w:t>
      </w:r>
    </w:p>
  </w:footnote>
  <w:footnote w:id="61">
    <w:p w:rsidR="002C3444" w:rsidRDefault="002C3444" w:rsidP="002C3444">
      <w:pPr>
        <w:pStyle w:val="FootnoteText"/>
      </w:pPr>
      <w:r>
        <w:rPr>
          <w:rStyle w:val="FootnoteReference"/>
        </w:rPr>
        <w:footnoteRef/>
      </w:r>
      <w:r>
        <w:t xml:space="preserve"> </w:t>
      </w:r>
      <w:r>
        <w:rPr>
          <w:i/>
          <w:sz w:val="21"/>
          <w:szCs w:val="21"/>
        </w:rPr>
        <w:t xml:space="preserve">Tee v Tee and Hillman </w:t>
      </w:r>
      <w:r>
        <w:rPr>
          <w:sz w:val="21"/>
          <w:szCs w:val="21"/>
        </w:rPr>
        <w:t>[1999] 2 FLR 613, per Thorpe LJ at 617</w:t>
      </w:r>
    </w:p>
  </w:footnote>
  <w:footnote w:id="62">
    <w:p w:rsidR="002C3444" w:rsidRPr="00652C0A" w:rsidRDefault="002C3444" w:rsidP="002C3444">
      <w:pPr>
        <w:pStyle w:val="NoSpacing"/>
        <w:rPr>
          <w:sz w:val="20"/>
          <w:szCs w:val="20"/>
        </w:rPr>
      </w:pPr>
      <w:r w:rsidRPr="00652C0A">
        <w:rPr>
          <w:rStyle w:val="FootnoteReference"/>
          <w:sz w:val="20"/>
          <w:szCs w:val="20"/>
        </w:rPr>
        <w:footnoteRef/>
      </w:r>
      <w:r w:rsidRPr="00652C0A">
        <w:rPr>
          <w:sz w:val="20"/>
          <w:szCs w:val="20"/>
        </w:rPr>
        <w:t xml:space="preserve"> Per Thorpe LJ in </w:t>
      </w:r>
      <w:r w:rsidRPr="00652C0A">
        <w:rPr>
          <w:i/>
          <w:sz w:val="20"/>
          <w:szCs w:val="20"/>
        </w:rPr>
        <w:t>W v W (Joinder of Trusts of Land Act and Children Act Applications)</w:t>
      </w:r>
      <w:r w:rsidRPr="00652C0A">
        <w:rPr>
          <w:sz w:val="20"/>
          <w:szCs w:val="20"/>
        </w:rPr>
        <w:t xml:space="preserve"> [2004] 2 FLR 321 at [15]</w:t>
      </w:r>
    </w:p>
  </w:footnote>
  <w:footnote w:id="63">
    <w:p w:rsidR="00070003" w:rsidRDefault="00070003" w:rsidP="00070003">
      <w:pPr>
        <w:pStyle w:val="NoSpacing"/>
      </w:pPr>
      <w:r w:rsidRPr="00652C0A">
        <w:rPr>
          <w:rStyle w:val="FootnoteReference"/>
          <w:sz w:val="20"/>
          <w:szCs w:val="20"/>
        </w:rPr>
        <w:footnoteRef/>
      </w:r>
      <w:r w:rsidRPr="00652C0A">
        <w:rPr>
          <w:sz w:val="20"/>
          <w:szCs w:val="20"/>
        </w:rPr>
        <w:t xml:space="preserve"> Previously reported as </w:t>
      </w:r>
      <w:r w:rsidRPr="00652C0A">
        <w:rPr>
          <w:i/>
          <w:sz w:val="20"/>
          <w:szCs w:val="20"/>
        </w:rPr>
        <w:t>Re N (Payments for Benefit of Child)</w:t>
      </w:r>
      <w:r w:rsidRPr="00652C0A">
        <w:rPr>
          <w:sz w:val="20"/>
          <w:szCs w:val="20"/>
        </w:rPr>
        <w:t xml:space="preserve"> [2009] 1 FLR 1142, </w:t>
      </w:r>
      <w:r w:rsidRPr="00652C0A">
        <w:rPr>
          <w:i/>
          <w:sz w:val="20"/>
          <w:szCs w:val="20"/>
        </w:rPr>
        <w:t xml:space="preserve">Re N (S. 91(14) Order) </w:t>
      </w:r>
      <w:r w:rsidRPr="00652C0A">
        <w:rPr>
          <w:sz w:val="20"/>
          <w:szCs w:val="20"/>
        </w:rPr>
        <w:t xml:space="preserve">[2010] 1 FLR 1110 and </w:t>
      </w:r>
      <w:r w:rsidRPr="00652C0A">
        <w:rPr>
          <w:i/>
          <w:sz w:val="20"/>
          <w:szCs w:val="20"/>
        </w:rPr>
        <w:t>Re N</w:t>
      </w:r>
      <w:r w:rsidRPr="00652C0A">
        <w:rPr>
          <w:sz w:val="20"/>
          <w:szCs w:val="20"/>
        </w:rPr>
        <w:t xml:space="preserve"> [2010] 1 FLR 272.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358F" w:rsidRDefault="005F358F" w:rsidP="005F358F">
    <w:pPr>
      <w:pStyle w:val="Header"/>
      <w:jc w:val="right"/>
    </w:pPr>
  </w:p>
  <w:p w:rsidR="005F358F" w:rsidRDefault="000E608B" w:rsidP="000E608B">
    <w:pPr>
      <w:pStyle w:val="Header"/>
      <w:tabs>
        <w:tab w:val="clear" w:pos="4513"/>
        <w:tab w:val="clear" w:pos="9026"/>
        <w:tab w:val="left" w:pos="5253"/>
      </w:tabs>
      <w:jc w:val="right"/>
    </w:pPr>
    <w:r>
      <w:tab/>
    </w:r>
    <w:r w:rsidRPr="000E608B">
      <w:rPr>
        <w:noProof/>
      </w:rPr>
      <w:drawing>
        <wp:inline distT="0" distB="0" distL="0" distR="0">
          <wp:extent cx="2934347" cy="1221638"/>
          <wp:effectExtent l="19050" t="0" r="0" b="0"/>
          <wp:docPr id="1" name="Picture 2" descr="res30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30logo1.jpg"/>
                  <pic:cNvPicPr/>
                </pic:nvPicPr>
                <pic:blipFill>
                  <a:blip r:embed="rId1"/>
                  <a:stretch>
                    <a:fillRect/>
                  </a:stretch>
                </pic:blipFill>
                <pic:spPr>
                  <a:xfrm>
                    <a:off x="0" y="0"/>
                    <a:ext cx="2939013" cy="1223581"/>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E7CD1"/>
    <w:multiLevelType w:val="hybridMultilevel"/>
    <w:tmpl w:val="111E1E28"/>
    <w:lvl w:ilvl="0" w:tplc="7040E896">
      <w:start w:val="1"/>
      <w:numFmt w:val="lowerLetter"/>
      <w:lvlText w:val="%1)"/>
      <w:lvlJc w:val="left"/>
      <w:pPr>
        <w:ind w:left="1800" w:hanging="360"/>
      </w:pPr>
      <w:rPr>
        <w:rFonts w:ascii="Times New Roman" w:eastAsia="Times New Roman" w:hAnsi="Times New Roman" w:cs="Times New Roman"/>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
    <w:nsid w:val="173D30DE"/>
    <w:multiLevelType w:val="hybridMultilevel"/>
    <w:tmpl w:val="9278A77E"/>
    <w:lvl w:ilvl="0" w:tplc="A9D006C6">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nsid w:val="19B9784E"/>
    <w:multiLevelType w:val="hybridMultilevel"/>
    <w:tmpl w:val="3DCAFCD2"/>
    <w:lvl w:ilvl="0" w:tplc="302081D8">
      <w:start w:val="1"/>
      <w:numFmt w:val="lowerRoman"/>
      <w:lvlText w:val="%1)"/>
      <w:lvlJc w:val="left"/>
      <w:pPr>
        <w:ind w:left="2520" w:hanging="360"/>
      </w:pPr>
      <w:rPr>
        <w:rFonts w:ascii="Times New Roman" w:eastAsia="Times New Roman" w:hAnsi="Times New Roman" w:cs="Times New Roman" w:hint="default"/>
      </w:rPr>
    </w:lvl>
    <w:lvl w:ilvl="1" w:tplc="08090019">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3">
    <w:nsid w:val="207C6B00"/>
    <w:multiLevelType w:val="hybridMultilevel"/>
    <w:tmpl w:val="4D9E00C6"/>
    <w:lvl w:ilvl="0" w:tplc="0A907274">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nsid w:val="235076A2"/>
    <w:multiLevelType w:val="hybridMultilevel"/>
    <w:tmpl w:val="B2808430"/>
    <w:lvl w:ilvl="0" w:tplc="4A6EC33E">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
    <w:nsid w:val="28311A69"/>
    <w:multiLevelType w:val="hybridMultilevel"/>
    <w:tmpl w:val="C0AC39AC"/>
    <w:lvl w:ilvl="0" w:tplc="FD0C3FF0">
      <w:start w:val="1"/>
      <w:numFmt w:val="decimal"/>
      <w:lvlText w:val="%1."/>
      <w:lvlJc w:val="left"/>
      <w:pPr>
        <w:tabs>
          <w:tab w:val="num" w:pos="1080"/>
        </w:tabs>
        <w:ind w:left="1080" w:hanging="720"/>
      </w:pPr>
      <w:rPr>
        <w:rFonts w:cs="Times New Roman" w:hint="default"/>
      </w:rPr>
    </w:lvl>
    <w:lvl w:ilvl="1" w:tplc="08090017">
      <w:start w:val="1"/>
      <w:numFmt w:val="lowerLetter"/>
      <w:lvlText w:val="%2)"/>
      <w:lvlJc w:val="left"/>
      <w:pPr>
        <w:tabs>
          <w:tab w:val="num" w:pos="1800"/>
        </w:tabs>
        <w:ind w:left="1800" w:hanging="720"/>
      </w:pPr>
      <w:rPr>
        <w:rFonts w:hint="default"/>
      </w:rPr>
    </w:lvl>
    <w:lvl w:ilvl="2" w:tplc="763AEF14">
      <w:start w:val="1"/>
      <w:numFmt w:val="lowerLetter"/>
      <w:lvlText w:val="(%3)"/>
      <w:lvlJc w:val="left"/>
      <w:pPr>
        <w:tabs>
          <w:tab w:val="num" w:pos="2340"/>
        </w:tabs>
        <w:ind w:left="2340" w:hanging="360"/>
      </w:pPr>
      <w:rPr>
        <w:rFonts w:cs="Times New Roman" w:hint="default"/>
      </w:rPr>
    </w:lvl>
    <w:lvl w:ilvl="3" w:tplc="E14845B0">
      <w:start w:val="1"/>
      <w:numFmt w:val="lowerLetter"/>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2A0709E9"/>
    <w:multiLevelType w:val="hybridMultilevel"/>
    <w:tmpl w:val="C860BB94"/>
    <w:lvl w:ilvl="0" w:tplc="758012BA">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nsid w:val="2DD15A49"/>
    <w:multiLevelType w:val="hybridMultilevel"/>
    <w:tmpl w:val="F09C4E9C"/>
    <w:lvl w:ilvl="0" w:tplc="E14845B0">
      <w:start w:val="1"/>
      <w:numFmt w:val="lowerLetter"/>
      <w:lvlText w:val="%1)"/>
      <w:lvlJc w:val="left"/>
      <w:pPr>
        <w:ind w:left="28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3A2157A"/>
    <w:multiLevelType w:val="hybridMultilevel"/>
    <w:tmpl w:val="EFBE05CA"/>
    <w:lvl w:ilvl="0" w:tplc="3D3A273E">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9">
    <w:nsid w:val="34D91404"/>
    <w:multiLevelType w:val="hybridMultilevel"/>
    <w:tmpl w:val="2CECDE6A"/>
    <w:lvl w:ilvl="0" w:tplc="FD74F1A6">
      <w:start w:val="1"/>
      <w:numFmt w:val="lowerLetter"/>
      <w:lvlText w:val="%1)"/>
      <w:lvlJc w:val="left"/>
      <w:pPr>
        <w:ind w:left="1800" w:hanging="360"/>
      </w:pPr>
      <w:rPr>
        <w:rFonts w:eastAsia="Times New Roman"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0">
    <w:nsid w:val="3F3C2A63"/>
    <w:multiLevelType w:val="hybridMultilevel"/>
    <w:tmpl w:val="6A6E92F2"/>
    <w:lvl w:ilvl="0" w:tplc="9732C8DE">
      <w:start w:val="1"/>
      <w:numFmt w:val="decimal"/>
      <w:lvlText w:val="(%1)"/>
      <w:lvlJc w:val="left"/>
      <w:pPr>
        <w:ind w:left="252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1">
    <w:nsid w:val="42EF0076"/>
    <w:multiLevelType w:val="hybridMultilevel"/>
    <w:tmpl w:val="BF9AE86C"/>
    <w:lvl w:ilvl="0" w:tplc="558EB16A">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2">
    <w:nsid w:val="46305ADE"/>
    <w:multiLevelType w:val="hybridMultilevel"/>
    <w:tmpl w:val="822071F0"/>
    <w:lvl w:ilvl="0" w:tplc="758012BA">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nsid w:val="48813964"/>
    <w:multiLevelType w:val="hybridMultilevel"/>
    <w:tmpl w:val="617C5508"/>
    <w:lvl w:ilvl="0" w:tplc="BEAE9C02">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4">
    <w:nsid w:val="48A34714"/>
    <w:multiLevelType w:val="hybridMultilevel"/>
    <w:tmpl w:val="809C59BC"/>
    <w:lvl w:ilvl="0" w:tplc="08F4CDBE">
      <w:start w:val="1"/>
      <w:numFmt w:val="lowerRoman"/>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5">
    <w:nsid w:val="4B041964"/>
    <w:multiLevelType w:val="hybridMultilevel"/>
    <w:tmpl w:val="810C094C"/>
    <w:lvl w:ilvl="0" w:tplc="29CAB3F6">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nsid w:val="4EF95B4E"/>
    <w:multiLevelType w:val="hybridMultilevel"/>
    <w:tmpl w:val="7AF0EA78"/>
    <w:lvl w:ilvl="0" w:tplc="0C78AE68">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7">
    <w:nsid w:val="4F38696F"/>
    <w:multiLevelType w:val="hybridMultilevel"/>
    <w:tmpl w:val="5CFC9E5E"/>
    <w:lvl w:ilvl="0" w:tplc="216A200E">
      <w:start w:val="1"/>
      <w:numFmt w:val="lowerLetter"/>
      <w:lvlText w:val="%1)"/>
      <w:lvlJc w:val="left"/>
      <w:pPr>
        <w:ind w:left="2160" w:hanging="360"/>
      </w:pPr>
      <w:rPr>
        <w:rFonts w:ascii="Times New Roman" w:eastAsiaTheme="minorHAnsi" w:hAnsi="Times New Roman" w:cs="Times New Roman"/>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8">
    <w:nsid w:val="594A2591"/>
    <w:multiLevelType w:val="hybridMultilevel"/>
    <w:tmpl w:val="BF38460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5A9E26BA"/>
    <w:multiLevelType w:val="hybridMultilevel"/>
    <w:tmpl w:val="CFFEC8B6"/>
    <w:lvl w:ilvl="0" w:tplc="73724066">
      <w:start w:val="1"/>
      <w:numFmt w:val="lowerLetter"/>
      <w:lvlText w:val="%1)"/>
      <w:lvlJc w:val="left"/>
      <w:pPr>
        <w:ind w:left="1800" w:hanging="360"/>
      </w:pPr>
      <w:rPr>
        <w:rFonts w:ascii="Times New Roman" w:eastAsiaTheme="minorHAnsi" w:hAnsi="Times New Roman" w:cs="Times New Roman"/>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0">
    <w:nsid w:val="5E757B75"/>
    <w:multiLevelType w:val="hybridMultilevel"/>
    <w:tmpl w:val="F4223EC8"/>
    <w:lvl w:ilvl="0" w:tplc="FD0C3FF0">
      <w:start w:val="1"/>
      <w:numFmt w:val="decimal"/>
      <w:lvlText w:val="%1."/>
      <w:lvlJc w:val="left"/>
      <w:pPr>
        <w:tabs>
          <w:tab w:val="num" w:pos="1080"/>
        </w:tabs>
        <w:ind w:left="1080" w:hanging="720"/>
      </w:pPr>
      <w:rPr>
        <w:rFonts w:cs="Times New Roman" w:hint="default"/>
      </w:rPr>
    </w:lvl>
    <w:lvl w:ilvl="1" w:tplc="08090017">
      <w:start w:val="1"/>
      <w:numFmt w:val="lowerLetter"/>
      <w:lvlText w:val="%2)"/>
      <w:lvlJc w:val="left"/>
      <w:pPr>
        <w:tabs>
          <w:tab w:val="num" w:pos="1800"/>
        </w:tabs>
        <w:ind w:left="1800" w:hanging="720"/>
      </w:pPr>
      <w:rPr>
        <w:rFonts w:hint="default"/>
      </w:rPr>
    </w:lvl>
    <w:lvl w:ilvl="2" w:tplc="758012BA">
      <w:start w:val="1"/>
      <w:numFmt w:val="lowerLetter"/>
      <w:lvlText w:val="%3)"/>
      <w:lvlJc w:val="left"/>
      <w:pPr>
        <w:tabs>
          <w:tab w:val="num" w:pos="2340"/>
        </w:tabs>
        <w:ind w:left="2340" w:hanging="360"/>
      </w:pPr>
      <w:rPr>
        <w:rFonts w:hint="default"/>
      </w:rPr>
    </w:lvl>
    <w:lvl w:ilvl="3" w:tplc="E14845B0">
      <w:start w:val="1"/>
      <w:numFmt w:val="lowerLetter"/>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nsid w:val="718435E4"/>
    <w:multiLevelType w:val="hybridMultilevel"/>
    <w:tmpl w:val="61A43478"/>
    <w:lvl w:ilvl="0" w:tplc="A9F6E846">
      <w:start w:val="1"/>
      <w:numFmt w:val="lowerRoman"/>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22">
    <w:nsid w:val="72613764"/>
    <w:multiLevelType w:val="hybridMultilevel"/>
    <w:tmpl w:val="A16AE29A"/>
    <w:lvl w:ilvl="0" w:tplc="41F6F286">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3">
    <w:nsid w:val="73136D82"/>
    <w:multiLevelType w:val="hybridMultilevel"/>
    <w:tmpl w:val="891A2D16"/>
    <w:lvl w:ilvl="0" w:tplc="A9D006C6">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4">
    <w:nsid w:val="76847013"/>
    <w:multiLevelType w:val="hybridMultilevel"/>
    <w:tmpl w:val="87649CD6"/>
    <w:lvl w:ilvl="0" w:tplc="EA1E42B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5">
    <w:nsid w:val="7A753133"/>
    <w:multiLevelType w:val="hybridMultilevel"/>
    <w:tmpl w:val="A00093E2"/>
    <w:lvl w:ilvl="0" w:tplc="A9D006C6">
      <w:start w:val="1"/>
      <w:numFmt w:val="lowerLetter"/>
      <w:lvlText w:val="%1)"/>
      <w:lvlJc w:val="left"/>
      <w:pPr>
        <w:ind w:left="1800" w:hanging="360"/>
      </w:pPr>
      <w:rPr>
        <w:rFonts w:hint="default"/>
        <w:u w:val="none"/>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6">
    <w:nsid w:val="7B1A676C"/>
    <w:multiLevelType w:val="hybridMultilevel"/>
    <w:tmpl w:val="D80CF350"/>
    <w:lvl w:ilvl="0" w:tplc="08090017">
      <w:start w:val="1"/>
      <w:numFmt w:val="lowerLetter"/>
      <w:lvlText w:val="%1)"/>
      <w:lvlJc w:val="left"/>
      <w:pPr>
        <w:tabs>
          <w:tab w:val="num" w:pos="1800"/>
        </w:tabs>
        <w:ind w:left="1800" w:hanging="720"/>
      </w:pPr>
      <w:rPr>
        <w:rFonts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7">
    <w:nsid w:val="7DA46079"/>
    <w:multiLevelType w:val="hybridMultilevel"/>
    <w:tmpl w:val="9278A77E"/>
    <w:lvl w:ilvl="0" w:tplc="A9D006C6">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8">
    <w:nsid w:val="7E1B28CF"/>
    <w:multiLevelType w:val="hybridMultilevel"/>
    <w:tmpl w:val="085295A4"/>
    <w:lvl w:ilvl="0" w:tplc="FD0C3FF0">
      <w:start w:val="1"/>
      <w:numFmt w:val="decimal"/>
      <w:lvlText w:val="%1."/>
      <w:lvlJc w:val="left"/>
      <w:pPr>
        <w:tabs>
          <w:tab w:val="num" w:pos="1080"/>
        </w:tabs>
        <w:ind w:left="1080" w:hanging="720"/>
      </w:pPr>
      <w:rPr>
        <w:rFonts w:hint="default"/>
      </w:rPr>
    </w:lvl>
    <w:lvl w:ilvl="1" w:tplc="EE4C5AC2">
      <w:start w:val="1"/>
      <w:numFmt w:val="lowerRoman"/>
      <w:lvlText w:val="(%2)"/>
      <w:lvlJc w:val="left"/>
      <w:pPr>
        <w:tabs>
          <w:tab w:val="num" w:pos="1800"/>
        </w:tabs>
        <w:ind w:left="1800" w:hanging="720"/>
      </w:pPr>
      <w:rPr>
        <w:rFonts w:hint="default"/>
      </w:rPr>
    </w:lvl>
    <w:lvl w:ilvl="2" w:tplc="763AEF14">
      <w:start w:val="1"/>
      <w:numFmt w:val="lowerLetter"/>
      <w:lvlText w:val="(%3)"/>
      <w:lvlJc w:val="left"/>
      <w:pPr>
        <w:tabs>
          <w:tab w:val="num" w:pos="2340"/>
        </w:tabs>
        <w:ind w:left="2340" w:hanging="360"/>
      </w:pPr>
      <w:rPr>
        <w:rFonts w:hint="default"/>
      </w:rPr>
    </w:lvl>
    <w:lvl w:ilvl="3" w:tplc="5E041934">
      <w:start w:val="1"/>
      <w:numFmt w:val="lowerLetter"/>
      <w:lvlText w:val="%4)"/>
      <w:lvlJc w:val="left"/>
      <w:pPr>
        <w:tabs>
          <w:tab w:val="num" w:pos="2880"/>
        </w:tabs>
        <w:ind w:left="2880" w:hanging="360"/>
      </w:pPr>
      <w:rPr>
        <w:rFonts w:ascii="Times New Roman" w:eastAsiaTheme="minorEastAsia" w:hAnsi="Times New Roman" w:cs="Times New Roman"/>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8"/>
  </w:num>
  <w:num w:numId="2">
    <w:abstractNumId w:val="18"/>
  </w:num>
  <w:num w:numId="3">
    <w:abstractNumId w:val="13"/>
  </w:num>
  <w:num w:numId="4">
    <w:abstractNumId w:val="16"/>
  </w:num>
  <w:num w:numId="5">
    <w:abstractNumId w:val="10"/>
  </w:num>
  <w:num w:numId="6">
    <w:abstractNumId w:val="6"/>
  </w:num>
  <w:num w:numId="7">
    <w:abstractNumId w:val="22"/>
  </w:num>
  <w:num w:numId="8">
    <w:abstractNumId w:val="19"/>
  </w:num>
  <w:num w:numId="9">
    <w:abstractNumId w:val="11"/>
  </w:num>
  <w:num w:numId="10">
    <w:abstractNumId w:val="24"/>
  </w:num>
  <w:num w:numId="11">
    <w:abstractNumId w:val="2"/>
  </w:num>
  <w:num w:numId="12">
    <w:abstractNumId w:val="3"/>
  </w:num>
  <w:num w:numId="13">
    <w:abstractNumId w:val="21"/>
  </w:num>
  <w:num w:numId="14">
    <w:abstractNumId w:val="14"/>
  </w:num>
  <w:num w:numId="15">
    <w:abstractNumId w:val="23"/>
  </w:num>
  <w:num w:numId="16">
    <w:abstractNumId w:val="1"/>
  </w:num>
  <w:num w:numId="17">
    <w:abstractNumId w:val="17"/>
  </w:num>
  <w:num w:numId="18">
    <w:abstractNumId w:val="7"/>
  </w:num>
  <w:num w:numId="19">
    <w:abstractNumId w:val="5"/>
  </w:num>
  <w:num w:numId="20">
    <w:abstractNumId w:val="26"/>
  </w:num>
  <w:num w:numId="21">
    <w:abstractNumId w:val="25"/>
  </w:num>
  <w:num w:numId="22">
    <w:abstractNumId w:val="12"/>
  </w:num>
  <w:num w:numId="23">
    <w:abstractNumId w:val="20"/>
  </w:num>
  <w:num w:numId="24">
    <w:abstractNumId w:val="4"/>
  </w:num>
  <w:num w:numId="25">
    <w:abstractNumId w:val="9"/>
  </w:num>
  <w:num w:numId="26">
    <w:abstractNumId w:val="8"/>
  </w:num>
  <w:num w:numId="27">
    <w:abstractNumId w:val="0"/>
  </w:num>
  <w:num w:numId="28">
    <w:abstractNumId w:val="15"/>
  </w:num>
  <w:num w:numId="2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DA2"/>
    <w:rsid w:val="00045E7B"/>
    <w:rsid w:val="00057D16"/>
    <w:rsid w:val="000679D3"/>
    <w:rsid w:val="00070003"/>
    <w:rsid w:val="000D4A7F"/>
    <w:rsid w:val="000E608B"/>
    <w:rsid w:val="001E24EF"/>
    <w:rsid w:val="002B1E45"/>
    <w:rsid w:val="002C3444"/>
    <w:rsid w:val="00346918"/>
    <w:rsid w:val="00361187"/>
    <w:rsid w:val="003E7AD1"/>
    <w:rsid w:val="00435589"/>
    <w:rsid w:val="005F358F"/>
    <w:rsid w:val="00722EC2"/>
    <w:rsid w:val="00792DA2"/>
    <w:rsid w:val="007B2DBE"/>
    <w:rsid w:val="007B3DF0"/>
    <w:rsid w:val="007D3393"/>
    <w:rsid w:val="009A76FB"/>
    <w:rsid w:val="00A051A1"/>
    <w:rsid w:val="00B05E14"/>
    <w:rsid w:val="00B30B3A"/>
    <w:rsid w:val="00BD27E1"/>
    <w:rsid w:val="00C35729"/>
    <w:rsid w:val="00F61E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2D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2DA2"/>
    <w:rPr>
      <w:rFonts w:ascii="Tahoma" w:hAnsi="Tahoma" w:cs="Tahoma"/>
      <w:sz w:val="16"/>
      <w:szCs w:val="16"/>
    </w:rPr>
  </w:style>
  <w:style w:type="paragraph" w:styleId="Header">
    <w:name w:val="header"/>
    <w:basedOn w:val="Normal"/>
    <w:link w:val="HeaderChar"/>
    <w:uiPriority w:val="99"/>
    <w:unhideWhenUsed/>
    <w:rsid w:val="00792D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2DA2"/>
  </w:style>
  <w:style w:type="paragraph" w:styleId="Footer">
    <w:name w:val="footer"/>
    <w:basedOn w:val="Normal"/>
    <w:link w:val="FooterChar"/>
    <w:uiPriority w:val="99"/>
    <w:unhideWhenUsed/>
    <w:rsid w:val="00792D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2DA2"/>
  </w:style>
  <w:style w:type="character" w:styleId="Hyperlink">
    <w:name w:val="Hyperlink"/>
    <w:basedOn w:val="DefaultParagraphFont"/>
    <w:uiPriority w:val="99"/>
    <w:unhideWhenUsed/>
    <w:rsid w:val="00070003"/>
    <w:rPr>
      <w:color w:val="0000FF" w:themeColor="hyperlink"/>
      <w:u w:val="single"/>
    </w:rPr>
  </w:style>
  <w:style w:type="paragraph" w:styleId="FootnoteText">
    <w:name w:val="footnote text"/>
    <w:basedOn w:val="Normal"/>
    <w:link w:val="FootnoteTextChar"/>
    <w:uiPriority w:val="99"/>
    <w:unhideWhenUsed/>
    <w:rsid w:val="00070003"/>
    <w:pPr>
      <w:spacing w:after="0" w:line="240" w:lineRule="auto"/>
    </w:pPr>
    <w:rPr>
      <w:sz w:val="20"/>
      <w:szCs w:val="20"/>
    </w:rPr>
  </w:style>
  <w:style w:type="character" w:customStyle="1" w:styleId="FootnoteTextChar">
    <w:name w:val="Footnote Text Char"/>
    <w:basedOn w:val="DefaultParagraphFont"/>
    <w:link w:val="FootnoteText"/>
    <w:uiPriority w:val="99"/>
    <w:rsid w:val="00070003"/>
    <w:rPr>
      <w:sz w:val="20"/>
      <w:szCs w:val="20"/>
    </w:rPr>
  </w:style>
  <w:style w:type="character" w:styleId="FootnoteReference">
    <w:name w:val="footnote reference"/>
    <w:basedOn w:val="DefaultParagraphFont"/>
    <w:uiPriority w:val="99"/>
    <w:semiHidden/>
    <w:unhideWhenUsed/>
    <w:rsid w:val="00070003"/>
    <w:rPr>
      <w:vertAlign w:val="superscript"/>
    </w:rPr>
  </w:style>
  <w:style w:type="paragraph" w:styleId="ListParagraph">
    <w:name w:val="List Paragraph"/>
    <w:basedOn w:val="Normal"/>
    <w:qFormat/>
    <w:rsid w:val="00070003"/>
    <w:pPr>
      <w:ind w:left="720"/>
      <w:contextualSpacing/>
    </w:pPr>
  </w:style>
  <w:style w:type="paragraph" w:styleId="NoSpacing">
    <w:name w:val="No Spacing"/>
    <w:uiPriority w:val="1"/>
    <w:qFormat/>
    <w:rsid w:val="00070003"/>
    <w:pPr>
      <w:spacing w:after="0" w:line="240" w:lineRule="auto"/>
    </w:pPr>
    <w:rPr>
      <w:rFonts w:ascii="Times New Roman" w:hAnsi="Times New Roman" w:cs="Times New Roman"/>
      <w:sz w:val="24"/>
      <w:szCs w:val="24"/>
    </w:rPr>
  </w:style>
  <w:style w:type="table" w:styleId="TableGrid">
    <w:name w:val="Table Grid"/>
    <w:basedOn w:val="TableNormal"/>
    <w:rsid w:val="00070003"/>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2D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2DA2"/>
    <w:rPr>
      <w:rFonts w:ascii="Tahoma" w:hAnsi="Tahoma" w:cs="Tahoma"/>
      <w:sz w:val="16"/>
      <w:szCs w:val="16"/>
    </w:rPr>
  </w:style>
  <w:style w:type="paragraph" w:styleId="Header">
    <w:name w:val="header"/>
    <w:basedOn w:val="Normal"/>
    <w:link w:val="HeaderChar"/>
    <w:uiPriority w:val="99"/>
    <w:unhideWhenUsed/>
    <w:rsid w:val="00792D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2DA2"/>
  </w:style>
  <w:style w:type="paragraph" w:styleId="Footer">
    <w:name w:val="footer"/>
    <w:basedOn w:val="Normal"/>
    <w:link w:val="FooterChar"/>
    <w:uiPriority w:val="99"/>
    <w:unhideWhenUsed/>
    <w:rsid w:val="00792D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2DA2"/>
  </w:style>
  <w:style w:type="character" w:styleId="Hyperlink">
    <w:name w:val="Hyperlink"/>
    <w:basedOn w:val="DefaultParagraphFont"/>
    <w:uiPriority w:val="99"/>
    <w:unhideWhenUsed/>
    <w:rsid w:val="00070003"/>
    <w:rPr>
      <w:color w:val="0000FF" w:themeColor="hyperlink"/>
      <w:u w:val="single"/>
    </w:rPr>
  </w:style>
  <w:style w:type="paragraph" w:styleId="FootnoteText">
    <w:name w:val="footnote text"/>
    <w:basedOn w:val="Normal"/>
    <w:link w:val="FootnoteTextChar"/>
    <w:uiPriority w:val="99"/>
    <w:unhideWhenUsed/>
    <w:rsid w:val="00070003"/>
    <w:pPr>
      <w:spacing w:after="0" w:line="240" w:lineRule="auto"/>
    </w:pPr>
    <w:rPr>
      <w:sz w:val="20"/>
      <w:szCs w:val="20"/>
    </w:rPr>
  </w:style>
  <w:style w:type="character" w:customStyle="1" w:styleId="FootnoteTextChar">
    <w:name w:val="Footnote Text Char"/>
    <w:basedOn w:val="DefaultParagraphFont"/>
    <w:link w:val="FootnoteText"/>
    <w:uiPriority w:val="99"/>
    <w:rsid w:val="00070003"/>
    <w:rPr>
      <w:sz w:val="20"/>
      <w:szCs w:val="20"/>
    </w:rPr>
  </w:style>
  <w:style w:type="character" w:styleId="FootnoteReference">
    <w:name w:val="footnote reference"/>
    <w:basedOn w:val="DefaultParagraphFont"/>
    <w:uiPriority w:val="99"/>
    <w:semiHidden/>
    <w:unhideWhenUsed/>
    <w:rsid w:val="00070003"/>
    <w:rPr>
      <w:vertAlign w:val="superscript"/>
    </w:rPr>
  </w:style>
  <w:style w:type="paragraph" w:styleId="ListParagraph">
    <w:name w:val="List Paragraph"/>
    <w:basedOn w:val="Normal"/>
    <w:qFormat/>
    <w:rsid w:val="00070003"/>
    <w:pPr>
      <w:ind w:left="720"/>
      <w:contextualSpacing/>
    </w:pPr>
  </w:style>
  <w:style w:type="paragraph" w:styleId="NoSpacing">
    <w:name w:val="No Spacing"/>
    <w:uiPriority w:val="1"/>
    <w:qFormat/>
    <w:rsid w:val="00070003"/>
    <w:pPr>
      <w:spacing w:after="0" w:line="240" w:lineRule="auto"/>
    </w:pPr>
    <w:rPr>
      <w:rFonts w:ascii="Times New Roman" w:hAnsi="Times New Roman" w:cs="Times New Roman"/>
      <w:sz w:val="24"/>
      <w:szCs w:val="24"/>
    </w:rPr>
  </w:style>
  <w:style w:type="table" w:styleId="TableGrid">
    <w:name w:val="Table Grid"/>
    <w:basedOn w:val="TableNormal"/>
    <w:rsid w:val="00070003"/>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handler@1gc.co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fox@1gc.com"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dwp.gov.uk/docs/childrens-futures-consultation.pdf" TargetMode="External"/><Relationship Id="rId7" Type="http://schemas.openxmlformats.org/officeDocument/2006/relationships/hyperlink" Target="http://www.dwp.gov.uk/docs/universal-credit-faqs.pdf" TargetMode="External"/><Relationship Id="rId2" Type="http://schemas.openxmlformats.org/officeDocument/2006/relationships/hyperlink" Target="http://www.judiciary.gov.uk/Resources/JCO/Documents/Practice%20Directions/family-div-procedure-rules-2010-practice-directions-amendments-consolidated-04122012.pdf" TargetMode="External"/><Relationship Id="rId1" Type="http://schemas.openxmlformats.org/officeDocument/2006/relationships/hyperlink" Target="http://www.legislation.gov.uk/uksi/2012/3061/schedule/made" TargetMode="External"/><Relationship Id="rId6" Type="http://schemas.openxmlformats.org/officeDocument/2006/relationships/hyperlink" Target="http://www.legislation.gov.uk/ukdsi/2013/9780111531938/contents" TargetMode="External"/><Relationship Id="rId5" Type="http://schemas.openxmlformats.org/officeDocument/2006/relationships/hyperlink" Target="http://www.familylawweek.co.uk/site.aspx?i=ed24549" TargetMode="External"/><Relationship Id="rId4" Type="http://schemas.openxmlformats.org/officeDocument/2006/relationships/hyperlink" Target="http://www.familylaw.co.uk/system/uploads/attachments/0006/2647/uksi_20123042_e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24</Pages>
  <Words>4791</Words>
  <Characters>27315</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Victoria.Sutton</dc:creator>
  <cp:lastModifiedBy>Alexander Chandler</cp:lastModifiedBy>
  <cp:revision>3</cp:revision>
  <cp:lastPrinted>2013-03-27T14:34:00Z</cp:lastPrinted>
  <dcterms:created xsi:type="dcterms:W3CDTF">2013-03-27T14:34:00Z</dcterms:created>
  <dcterms:modified xsi:type="dcterms:W3CDTF">2013-03-27T14:51:00Z</dcterms:modified>
</cp:coreProperties>
</file>